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4E268C4" w14:textId="4980A604" w:rsidR="00FD69B4" w:rsidRDefault="00FD69B4" w:rsidP="00C93F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b/>
          <w:bCs/>
          <w:caps/>
          <w:color w:val="4472C4"/>
          <w:sz w:val="32"/>
          <w:szCs w:val="32"/>
        </w:rPr>
      </w:pPr>
      <w:r w:rsidRPr="00FD69B4">
        <w:rPr>
          <w:rStyle w:val="normaltextrun"/>
          <w:rFonts w:ascii="Calibri Light" w:hAnsi="Calibri Light" w:cs="Calibri Light"/>
          <w:b/>
          <w:bCs/>
          <w:caps/>
          <w:noProof/>
          <w:color w:val="4472C4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6DB11B" wp14:editId="6AF84E3B">
                <wp:simplePos x="0" y="0"/>
                <wp:positionH relativeFrom="margin">
                  <wp:posOffset>14605</wp:posOffset>
                </wp:positionH>
                <wp:positionV relativeFrom="paragraph">
                  <wp:posOffset>258445</wp:posOffset>
                </wp:positionV>
                <wp:extent cx="5749290" cy="2362200"/>
                <wp:effectExtent l="0" t="0" r="3810" b="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9290" cy="2362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20AC6" w14:textId="005AE513" w:rsidR="005F32DF" w:rsidRPr="00815732" w:rsidRDefault="005F32DF" w:rsidP="00815732">
                            <w:pPr>
                              <w:pStyle w:val="Nzev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</w:rPr>
                            </w:pPr>
                            <w:r w:rsidRPr="00815732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</w:rPr>
                              <w:t xml:space="preserve">STRATEGIE OČKOVÁNÍ </w:t>
                            </w:r>
                          </w:p>
                          <w:p w14:paraId="6D58370B" w14:textId="7AF05437" w:rsidR="005F32DF" w:rsidRPr="00815732" w:rsidRDefault="005F32DF" w:rsidP="00815732">
                            <w:pPr>
                              <w:pStyle w:val="Nzev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</w:rPr>
                            </w:pPr>
                            <w:r w:rsidRPr="00815732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</w:rPr>
                              <w:t>PROTI NEMOCI COVID-19</w:t>
                            </w:r>
                          </w:p>
                          <w:p w14:paraId="0D7D2550" w14:textId="5D45A05E" w:rsidR="005F32DF" w:rsidRPr="00483411" w:rsidRDefault="005F32DF" w:rsidP="00815732">
                            <w:pPr>
                              <w:rPr>
                                <w:color w:val="FFFFFF" w:themeColor="background1"/>
                                <w:sz w:val="36"/>
                                <w14:textFill>
                                  <w14:noFill/>
                                </w14:textFill>
                              </w:rPr>
                            </w:pPr>
                            <w:r w:rsidRPr="00483411">
                              <w:rPr>
                                <w:color w:val="FFFFFF" w:themeColor="background1"/>
                                <w:sz w:val="36"/>
                              </w:rPr>
                              <w:t>Strategie zavádění, organizace a indikace očkování proti onemocnění COVID-19 způsobené virem SARS-CoV-2</w:t>
                            </w:r>
                            <w:r>
                              <w:rPr>
                                <w:color w:val="FFFFFF" w:themeColor="background1"/>
                                <w:sz w:val="36"/>
                              </w:rPr>
                              <w:t xml:space="preserve"> v České republice</w:t>
                            </w:r>
                          </w:p>
                        </w:txbxContent>
                      </wps:txbx>
                      <wps:bodyPr rot="0" vert="horz" wrap="square" lIns="144000" tIns="72000" rIns="72000" bIns="72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6DB11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.15pt;margin-top:20.35pt;width:452.7pt;height:18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" fillcolor="#2f5496 [2404]" stroked="f">
                <v:textbox inset="4mm,2mm,2mm,2mm">
                  <w:txbxContent>
                    <w:p w14:paraId="21C20AC6" w14:textId="005AE513" w:rsidR="005F32DF" w:rsidRPr="00815732" w:rsidRDefault="005F32DF" w:rsidP="00815732">
                      <w:pPr>
                        <w:pStyle w:val="Nzev"/>
                        <w:rPr>
                          <w:rFonts w:ascii="Arial Black" w:hAnsi="Arial Black"/>
                          <w:b/>
                          <w:color w:val="FFFFFF" w:themeColor="background1"/>
                        </w:rPr>
                      </w:pPr>
                      <w:r w:rsidRPr="00815732">
                        <w:rPr>
                          <w:rFonts w:ascii="Arial Black" w:hAnsi="Arial Black"/>
                          <w:b/>
                          <w:color w:val="FFFFFF" w:themeColor="background1"/>
                        </w:rPr>
                        <w:t xml:space="preserve">STRATEGIE OČKOVÁNÍ </w:t>
                      </w:r>
                    </w:p>
                    <w:p w14:paraId="6D58370B" w14:textId="7AF05437" w:rsidR="005F32DF" w:rsidRPr="00815732" w:rsidRDefault="005F32DF" w:rsidP="00815732">
                      <w:pPr>
                        <w:pStyle w:val="Nzev"/>
                        <w:rPr>
                          <w:rFonts w:ascii="Arial Black" w:hAnsi="Arial Black"/>
                          <w:b/>
                          <w:color w:val="FFFFFF" w:themeColor="background1"/>
                        </w:rPr>
                      </w:pPr>
                      <w:r w:rsidRPr="00815732">
                        <w:rPr>
                          <w:rFonts w:ascii="Arial Black" w:hAnsi="Arial Black"/>
                          <w:b/>
                          <w:color w:val="FFFFFF" w:themeColor="background1"/>
                        </w:rPr>
                        <w:t>PROTI NEMOCI COVID-19</w:t>
                      </w:r>
                    </w:p>
                    <w:p w14:paraId="0D7D2550" w14:textId="5D45A05E" w:rsidR="005F32DF" w:rsidRPr="00483411" w:rsidRDefault="005F32DF" w:rsidP="00815732">
                      <w:pPr>
                        <w:rPr>
                          <w:color w:val="FFFFFF" w:themeColor="background1"/>
                          <w:sz w:val="36"/>
                          <w14:textFill>
                            <w14:noFill/>
                          </w14:textFill>
                        </w:rPr>
                      </w:pPr>
                      <w:r w:rsidRPr="00483411">
                        <w:rPr>
                          <w:color w:val="FFFFFF" w:themeColor="background1"/>
                          <w:sz w:val="36"/>
                        </w:rPr>
                        <w:t>Strategie zavádění, organizace a indikace očkování proti onemocnění COVID-19 způsobené virem SARS-CoV-2</w:t>
                      </w:r>
                      <w:r>
                        <w:rPr>
                          <w:color w:val="FFFFFF" w:themeColor="background1"/>
                          <w:sz w:val="36"/>
                        </w:rPr>
                        <w:t xml:space="preserve"> v České republice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E8DCC71" w14:textId="4F7E52E0" w:rsidR="00FD69B4" w:rsidRDefault="00FD69B4" w:rsidP="00C93F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b/>
          <w:bCs/>
          <w:caps/>
          <w:color w:val="4472C4"/>
          <w:sz w:val="32"/>
          <w:szCs w:val="32"/>
        </w:rPr>
      </w:pPr>
    </w:p>
    <w:p w14:paraId="3C3E48B2" w14:textId="77777777" w:rsidR="00FD69B4" w:rsidRDefault="00FD69B4" w:rsidP="00C93F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b/>
          <w:bCs/>
          <w:caps/>
          <w:color w:val="4472C4"/>
          <w:sz w:val="32"/>
          <w:szCs w:val="32"/>
        </w:rPr>
      </w:pPr>
    </w:p>
    <w:p w14:paraId="2D0B38D5" w14:textId="77777777" w:rsidR="00FD69B4" w:rsidRDefault="00FD69B4" w:rsidP="00C93F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b/>
          <w:bCs/>
          <w:caps/>
          <w:color w:val="4472C4"/>
          <w:sz w:val="32"/>
          <w:szCs w:val="32"/>
        </w:rPr>
      </w:pPr>
    </w:p>
    <w:p w14:paraId="787944EE" w14:textId="251D6056" w:rsidR="00FD69B4" w:rsidRDefault="00FD69B4" w:rsidP="00C93F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b/>
          <w:bCs/>
          <w:caps/>
          <w:color w:val="4472C4"/>
          <w:sz w:val="32"/>
          <w:szCs w:val="32"/>
        </w:rPr>
      </w:pPr>
    </w:p>
    <w:p w14:paraId="07AAADD1" w14:textId="77777777" w:rsidR="00FD69B4" w:rsidRDefault="00FD69B4" w:rsidP="00C93F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b/>
          <w:bCs/>
          <w:caps/>
          <w:color w:val="4472C4"/>
          <w:sz w:val="32"/>
          <w:szCs w:val="32"/>
        </w:rPr>
      </w:pPr>
    </w:p>
    <w:p w14:paraId="03619BC4" w14:textId="77777777" w:rsidR="00FD69B4" w:rsidRDefault="00FD69B4" w:rsidP="00C93F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b/>
          <w:bCs/>
          <w:caps/>
          <w:color w:val="4472C4"/>
          <w:sz w:val="32"/>
          <w:szCs w:val="32"/>
        </w:rPr>
      </w:pPr>
    </w:p>
    <w:p w14:paraId="248A2A88" w14:textId="77777777" w:rsidR="00FD69B4" w:rsidRDefault="00FD69B4" w:rsidP="00C93F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b/>
          <w:bCs/>
          <w:caps/>
          <w:color w:val="4472C4"/>
          <w:sz w:val="32"/>
          <w:szCs w:val="32"/>
        </w:rPr>
      </w:pPr>
    </w:p>
    <w:p w14:paraId="4D18D5C6" w14:textId="77777777" w:rsidR="00FD69B4" w:rsidRDefault="00FD69B4" w:rsidP="00C93F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b/>
          <w:bCs/>
          <w:caps/>
          <w:color w:val="4472C4"/>
          <w:sz w:val="32"/>
          <w:szCs w:val="32"/>
        </w:rPr>
      </w:pPr>
    </w:p>
    <w:p w14:paraId="0B0582AF" w14:textId="77777777" w:rsidR="00FD69B4" w:rsidRDefault="00FD69B4" w:rsidP="00C93F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b/>
          <w:bCs/>
          <w:caps/>
          <w:color w:val="4472C4"/>
          <w:sz w:val="32"/>
          <w:szCs w:val="32"/>
        </w:rPr>
      </w:pPr>
    </w:p>
    <w:p w14:paraId="549C2029" w14:textId="77777777" w:rsidR="00FD69B4" w:rsidRDefault="00FD69B4" w:rsidP="00C93F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b/>
          <w:bCs/>
          <w:caps/>
          <w:color w:val="4472C4"/>
          <w:sz w:val="32"/>
          <w:szCs w:val="32"/>
        </w:rPr>
      </w:pPr>
    </w:p>
    <w:p w14:paraId="358F15BC" w14:textId="77777777" w:rsidR="00FD69B4" w:rsidRDefault="00FD69B4" w:rsidP="00C93F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b/>
          <w:bCs/>
          <w:caps/>
          <w:color w:val="4472C4"/>
          <w:sz w:val="32"/>
          <w:szCs w:val="32"/>
        </w:rPr>
      </w:pPr>
    </w:p>
    <w:p w14:paraId="3A1B67A3" w14:textId="77777777" w:rsidR="00FD69B4" w:rsidRDefault="00FD69B4" w:rsidP="00C93F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b/>
          <w:bCs/>
          <w:caps/>
          <w:color w:val="4472C4"/>
          <w:sz w:val="32"/>
          <w:szCs w:val="32"/>
        </w:rPr>
      </w:pPr>
    </w:p>
    <w:p w14:paraId="39770553" w14:textId="77777777" w:rsidR="00FD69B4" w:rsidRDefault="00FD69B4" w:rsidP="00C93F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b/>
          <w:bCs/>
          <w:caps/>
          <w:color w:val="4472C4"/>
          <w:sz w:val="32"/>
          <w:szCs w:val="32"/>
        </w:rPr>
      </w:pPr>
    </w:p>
    <w:p w14:paraId="480BFD1E" w14:textId="77777777" w:rsidR="00FD69B4" w:rsidRDefault="00FD69B4" w:rsidP="00C93F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b/>
          <w:bCs/>
          <w:caps/>
          <w:color w:val="4472C4"/>
          <w:sz w:val="32"/>
          <w:szCs w:val="32"/>
        </w:rPr>
      </w:pPr>
    </w:p>
    <w:p w14:paraId="4BFB7571" w14:textId="77777777" w:rsidR="00FD69B4" w:rsidRDefault="00FD69B4" w:rsidP="00C93F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b/>
          <w:bCs/>
          <w:caps/>
          <w:color w:val="4472C4"/>
          <w:sz w:val="32"/>
          <w:szCs w:val="32"/>
        </w:rPr>
      </w:pPr>
    </w:p>
    <w:p w14:paraId="6BA257E5" w14:textId="77777777" w:rsidR="00FD69B4" w:rsidRDefault="00FD69B4" w:rsidP="00C93F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b/>
          <w:bCs/>
          <w:caps/>
          <w:color w:val="4472C4"/>
          <w:sz w:val="32"/>
          <w:szCs w:val="32"/>
        </w:rPr>
      </w:pPr>
    </w:p>
    <w:p w14:paraId="0C632F1F" w14:textId="77777777" w:rsidR="00FD69B4" w:rsidRDefault="00FD69B4" w:rsidP="00C93F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b/>
          <w:bCs/>
          <w:caps/>
          <w:color w:val="4472C4"/>
          <w:sz w:val="32"/>
          <w:szCs w:val="32"/>
        </w:rPr>
      </w:pPr>
    </w:p>
    <w:p w14:paraId="483FE045" w14:textId="77777777" w:rsidR="00483411" w:rsidRDefault="00483411" w:rsidP="00C93F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bCs/>
          <w:sz w:val="32"/>
          <w:szCs w:val="32"/>
        </w:rPr>
      </w:pPr>
    </w:p>
    <w:p w14:paraId="1F31623F" w14:textId="795CB18C" w:rsidR="00FD69B4" w:rsidRPr="00BA7E1B" w:rsidRDefault="00483411" w:rsidP="00C93F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bCs/>
          <w:caps/>
          <w:szCs w:val="32"/>
        </w:rPr>
      </w:pPr>
      <w:r w:rsidRPr="00BA7E1B">
        <w:rPr>
          <w:noProof/>
          <w:sz w:val="20"/>
        </w:rPr>
        <w:drawing>
          <wp:anchor distT="0" distB="0" distL="114300" distR="114300" simplePos="0" relativeHeight="251662336" behindDoc="0" locked="0" layoutInCell="1" allowOverlap="1" wp14:anchorId="58C2FC50" wp14:editId="5E10439C">
            <wp:simplePos x="0" y="0"/>
            <wp:positionH relativeFrom="column">
              <wp:posOffset>-97468</wp:posOffset>
            </wp:positionH>
            <wp:positionV relativeFrom="paragraph">
              <wp:posOffset>286385</wp:posOffset>
            </wp:positionV>
            <wp:extent cx="4430453" cy="510541"/>
            <wp:effectExtent l="0" t="0" r="8255" b="3810"/>
            <wp:wrapNone/>
            <wp:docPr id="1026" name="Picture 2" descr="Vědecká rada Ministerstva zdravotnictví podpořila uvolňování zdravotní péč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Vědecká rada Ministerstva zdravotnictví podpořila uvolňování zdravotní péč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453" cy="51054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AB2301" w:rsidRPr="00BA7E1B">
        <w:rPr>
          <w:rStyle w:val="normaltextrun"/>
          <w:rFonts w:ascii="Calibri Light" w:hAnsi="Calibri Light" w:cs="Calibri Light"/>
          <w:bCs/>
          <w:szCs w:val="32"/>
        </w:rPr>
        <w:t xml:space="preserve">Poslední aktualizace </w:t>
      </w:r>
      <w:r w:rsidR="00355CC5">
        <w:rPr>
          <w:rStyle w:val="normaltextrun"/>
          <w:rFonts w:ascii="Calibri Light" w:hAnsi="Calibri Light" w:cs="Calibri Light"/>
          <w:bCs/>
          <w:szCs w:val="32"/>
        </w:rPr>
        <w:t>6</w:t>
      </w:r>
      <w:r w:rsidR="00FD69B4" w:rsidRPr="00BA7E1B">
        <w:rPr>
          <w:rStyle w:val="normaltextrun"/>
          <w:rFonts w:ascii="Calibri Light" w:hAnsi="Calibri Light" w:cs="Calibri Light"/>
          <w:bCs/>
          <w:caps/>
          <w:szCs w:val="32"/>
        </w:rPr>
        <w:t>.</w:t>
      </w:r>
      <w:r w:rsidR="00FA6690" w:rsidRPr="00BA7E1B">
        <w:rPr>
          <w:rStyle w:val="normaltextrun"/>
          <w:rFonts w:ascii="Calibri Light" w:hAnsi="Calibri Light" w:cs="Calibri Light"/>
          <w:bCs/>
          <w:caps/>
          <w:szCs w:val="32"/>
        </w:rPr>
        <w:t>1</w:t>
      </w:r>
      <w:r w:rsidR="00FA6690">
        <w:rPr>
          <w:rStyle w:val="normaltextrun"/>
          <w:rFonts w:ascii="Calibri Light" w:hAnsi="Calibri Light" w:cs="Calibri Light"/>
          <w:bCs/>
          <w:caps/>
          <w:szCs w:val="32"/>
        </w:rPr>
        <w:t>2</w:t>
      </w:r>
      <w:r w:rsidR="00FD69B4" w:rsidRPr="00BA7E1B">
        <w:rPr>
          <w:rStyle w:val="normaltextrun"/>
          <w:rFonts w:ascii="Calibri Light" w:hAnsi="Calibri Light" w:cs="Calibri Light"/>
          <w:bCs/>
          <w:caps/>
          <w:szCs w:val="32"/>
        </w:rPr>
        <w:t>. 2020</w:t>
      </w:r>
    </w:p>
    <w:p w14:paraId="137987A9" w14:textId="77777777" w:rsidR="0042618C" w:rsidRPr="00AB2301" w:rsidRDefault="0042618C" w:rsidP="00C93F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bCs/>
          <w:caps/>
          <w:sz w:val="32"/>
          <w:szCs w:val="32"/>
        </w:rPr>
      </w:pPr>
    </w:p>
    <w:p w14:paraId="56088A34" w14:textId="3124F7D1" w:rsidR="00FD69B4" w:rsidRDefault="00FD69B4" w:rsidP="00C93F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b/>
          <w:bCs/>
          <w:caps/>
          <w:color w:val="4472C4"/>
          <w:sz w:val="32"/>
          <w:szCs w:val="32"/>
        </w:rPr>
      </w:pPr>
    </w:p>
    <w:sdt>
      <w:sdtPr>
        <w:rPr>
          <w:b w:val="0"/>
          <w:caps w:val="0"/>
          <w:color w:val="auto"/>
          <w:spacing w:val="0"/>
          <w:sz w:val="20"/>
          <w:szCs w:val="20"/>
        </w:rPr>
        <w:id w:val="-1323808217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7CE9D494" w14:textId="066E8262" w:rsidR="00B32BF8" w:rsidRPr="00204A5C" w:rsidRDefault="00B32BF8">
          <w:pPr>
            <w:pStyle w:val="Nadpisobsahu"/>
            <w:rPr>
              <w:b w:val="0"/>
            </w:rPr>
          </w:pPr>
          <w:r w:rsidRPr="00204A5C">
            <w:rPr>
              <w:b w:val="0"/>
            </w:rPr>
            <w:t>Obsah</w:t>
          </w:r>
        </w:p>
        <w:p w14:paraId="1910E334" w14:textId="55ED96F3" w:rsidR="00FC5D1C" w:rsidRDefault="00B32BF8">
          <w:pPr>
            <w:pStyle w:val="Obsah1"/>
            <w:rPr>
              <w:noProof/>
              <w:sz w:val="22"/>
              <w:szCs w:val="22"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8138512" w:history="1">
            <w:r w:rsidR="00FC5D1C" w:rsidRPr="00B75593">
              <w:rPr>
                <w:rStyle w:val="Hypertextovodkaz"/>
                <w:rFonts w:ascii="Calibri" w:hAnsi="Calibri" w:cs="Calibri"/>
                <w:noProof/>
              </w:rPr>
              <w:t>ÚVOD</w:t>
            </w:r>
            <w:r w:rsidR="00FC5D1C">
              <w:rPr>
                <w:noProof/>
                <w:webHidden/>
              </w:rPr>
              <w:tab/>
            </w:r>
            <w:r w:rsidR="00FC5D1C">
              <w:rPr>
                <w:noProof/>
                <w:webHidden/>
              </w:rPr>
              <w:fldChar w:fldCharType="begin"/>
            </w:r>
            <w:r w:rsidR="00FC5D1C">
              <w:rPr>
                <w:noProof/>
                <w:webHidden/>
              </w:rPr>
              <w:instrText xml:space="preserve"> PAGEREF _Toc58138512 \h </w:instrText>
            </w:r>
            <w:r w:rsidR="00FC5D1C">
              <w:rPr>
                <w:noProof/>
                <w:webHidden/>
              </w:rPr>
            </w:r>
            <w:r w:rsidR="00FC5D1C">
              <w:rPr>
                <w:noProof/>
                <w:webHidden/>
              </w:rPr>
              <w:fldChar w:fldCharType="separate"/>
            </w:r>
            <w:r w:rsidR="00933010">
              <w:rPr>
                <w:noProof/>
                <w:webHidden/>
              </w:rPr>
              <w:t>3</w:t>
            </w:r>
            <w:r w:rsidR="00FC5D1C">
              <w:rPr>
                <w:noProof/>
                <w:webHidden/>
              </w:rPr>
              <w:fldChar w:fldCharType="end"/>
            </w:r>
          </w:hyperlink>
        </w:p>
        <w:p w14:paraId="37E8FE96" w14:textId="16C4DA26" w:rsidR="00FC5D1C" w:rsidRDefault="00CF74DD">
          <w:pPr>
            <w:pStyle w:val="Obsah1"/>
            <w:rPr>
              <w:noProof/>
              <w:sz w:val="22"/>
              <w:szCs w:val="22"/>
              <w:lang w:eastAsia="cs-CZ"/>
            </w:rPr>
          </w:pPr>
          <w:hyperlink w:anchor="_Toc58138513" w:history="1">
            <w:r w:rsidR="00FC5D1C" w:rsidRPr="00B75593">
              <w:rPr>
                <w:rStyle w:val="Hypertextovodkaz"/>
                <w:rFonts w:ascii="Calibri" w:hAnsi="Calibri" w:cs="Calibri"/>
                <w:bCs/>
                <w:noProof/>
              </w:rPr>
              <w:t>1. ZÁKLADNÍ VÝCHODISKA</w:t>
            </w:r>
            <w:r w:rsidR="00FC5D1C">
              <w:rPr>
                <w:noProof/>
                <w:webHidden/>
              </w:rPr>
              <w:tab/>
            </w:r>
            <w:r w:rsidR="00FC5D1C">
              <w:rPr>
                <w:noProof/>
                <w:webHidden/>
              </w:rPr>
              <w:fldChar w:fldCharType="begin"/>
            </w:r>
            <w:r w:rsidR="00FC5D1C">
              <w:rPr>
                <w:noProof/>
                <w:webHidden/>
              </w:rPr>
              <w:instrText xml:space="preserve"> PAGEREF _Toc58138513 \h </w:instrText>
            </w:r>
            <w:r w:rsidR="00FC5D1C">
              <w:rPr>
                <w:noProof/>
                <w:webHidden/>
              </w:rPr>
            </w:r>
            <w:r w:rsidR="00FC5D1C">
              <w:rPr>
                <w:noProof/>
                <w:webHidden/>
              </w:rPr>
              <w:fldChar w:fldCharType="separate"/>
            </w:r>
            <w:r w:rsidR="00933010">
              <w:rPr>
                <w:noProof/>
                <w:webHidden/>
              </w:rPr>
              <w:t>5</w:t>
            </w:r>
            <w:r w:rsidR="00FC5D1C">
              <w:rPr>
                <w:noProof/>
                <w:webHidden/>
              </w:rPr>
              <w:fldChar w:fldCharType="end"/>
            </w:r>
          </w:hyperlink>
        </w:p>
        <w:p w14:paraId="007B8FEC" w14:textId="09423FF1" w:rsidR="00FC5D1C" w:rsidRDefault="00CF74DD">
          <w:pPr>
            <w:pStyle w:val="Obsah1"/>
            <w:rPr>
              <w:noProof/>
              <w:sz w:val="22"/>
              <w:szCs w:val="22"/>
              <w:lang w:eastAsia="cs-CZ"/>
            </w:rPr>
          </w:pPr>
          <w:hyperlink w:anchor="_Toc58138514" w:history="1">
            <w:r w:rsidR="00FC5D1C" w:rsidRPr="00B75593">
              <w:rPr>
                <w:rStyle w:val="Hypertextovodkaz"/>
                <w:noProof/>
              </w:rPr>
              <w:t>2. PŘEHLED VAKCÍN PROTI ONEMOCNĚNÍ COVID-19 A VÝVOJ</w:t>
            </w:r>
            <w:r w:rsidR="00FC5D1C">
              <w:rPr>
                <w:noProof/>
                <w:webHidden/>
              </w:rPr>
              <w:tab/>
            </w:r>
            <w:r w:rsidR="00FC5D1C">
              <w:rPr>
                <w:noProof/>
                <w:webHidden/>
              </w:rPr>
              <w:fldChar w:fldCharType="begin"/>
            </w:r>
            <w:r w:rsidR="00FC5D1C">
              <w:rPr>
                <w:noProof/>
                <w:webHidden/>
              </w:rPr>
              <w:instrText xml:space="preserve"> PAGEREF _Toc58138514 \h </w:instrText>
            </w:r>
            <w:r w:rsidR="00FC5D1C">
              <w:rPr>
                <w:noProof/>
                <w:webHidden/>
              </w:rPr>
            </w:r>
            <w:r w:rsidR="00FC5D1C">
              <w:rPr>
                <w:noProof/>
                <w:webHidden/>
              </w:rPr>
              <w:fldChar w:fldCharType="separate"/>
            </w:r>
            <w:r w:rsidR="00933010">
              <w:rPr>
                <w:noProof/>
                <w:webHidden/>
              </w:rPr>
              <w:t>5</w:t>
            </w:r>
            <w:r w:rsidR="00FC5D1C">
              <w:rPr>
                <w:noProof/>
                <w:webHidden/>
              </w:rPr>
              <w:fldChar w:fldCharType="end"/>
            </w:r>
          </w:hyperlink>
        </w:p>
        <w:p w14:paraId="1F4CF288" w14:textId="6930E3E5" w:rsidR="00FC5D1C" w:rsidRDefault="00CF74DD">
          <w:pPr>
            <w:pStyle w:val="Obsah1"/>
            <w:rPr>
              <w:noProof/>
              <w:sz w:val="22"/>
              <w:szCs w:val="22"/>
              <w:lang w:eastAsia="cs-CZ"/>
            </w:rPr>
          </w:pPr>
          <w:hyperlink w:anchor="_Toc58138515" w:history="1">
            <w:r w:rsidR="00FC5D1C" w:rsidRPr="00B75593">
              <w:rPr>
                <w:rStyle w:val="Hypertextovodkaz"/>
                <w:noProof/>
              </w:rPr>
              <w:t>3. ORGANIZACE OČKOVÁNÍ</w:t>
            </w:r>
            <w:r w:rsidR="00FC5D1C">
              <w:rPr>
                <w:noProof/>
                <w:webHidden/>
              </w:rPr>
              <w:tab/>
            </w:r>
            <w:r w:rsidR="00FC5D1C">
              <w:rPr>
                <w:noProof/>
                <w:webHidden/>
              </w:rPr>
              <w:fldChar w:fldCharType="begin"/>
            </w:r>
            <w:r w:rsidR="00FC5D1C">
              <w:rPr>
                <w:noProof/>
                <w:webHidden/>
              </w:rPr>
              <w:instrText xml:space="preserve"> PAGEREF _Toc58138515 \h </w:instrText>
            </w:r>
            <w:r w:rsidR="00FC5D1C">
              <w:rPr>
                <w:noProof/>
                <w:webHidden/>
              </w:rPr>
            </w:r>
            <w:r w:rsidR="00FC5D1C">
              <w:rPr>
                <w:noProof/>
                <w:webHidden/>
              </w:rPr>
              <w:fldChar w:fldCharType="separate"/>
            </w:r>
            <w:r w:rsidR="00933010">
              <w:rPr>
                <w:noProof/>
                <w:webHidden/>
              </w:rPr>
              <w:t>8</w:t>
            </w:r>
            <w:r w:rsidR="00FC5D1C">
              <w:rPr>
                <w:noProof/>
                <w:webHidden/>
              </w:rPr>
              <w:fldChar w:fldCharType="end"/>
            </w:r>
          </w:hyperlink>
        </w:p>
        <w:p w14:paraId="6600FBCF" w14:textId="09C2251B" w:rsidR="00FC5D1C" w:rsidRDefault="00CF74DD">
          <w:pPr>
            <w:pStyle w:val="Obsah1"/>
            <w:rPr>
              <w:noProof/>
              <w:sz w:val="22"/>
              <w:szCs w:val="22"/>
              <w:lang w:eastAsia="cs-CZ"/>
            </w:rPr>
          </w:pPr>
          <w:hyperlink w:anchor="_Toc58138516" w:history="1">
            <w:r w:rsidR="00FC5D1C" w:rsidRPr="00B75593">
              <w:rPr>
                <w:rStyle w:val="Hypertextovodkaz"/>
                <w:noProof/>
              </w:rPr>
              <w:t>4. OČKOVACÍ SCHÉMA</w:t>
            </w:r>
            <w:r w:rsidR="00FC5D1C">
              <w:rPr>
                <w:noProof/>
                <w:webHidden/>
              </w:rPr>
              <w:tab/>
            </w:r>
            <w:r w:rsidR="00FC5D1C">
              <w:rPr>
                <w:noProof/>
                <w:webHidden/>
              </w:rPr>
              <w:fldChar w:fldCharType="begin"/>
            </w:r>
            <w:r w:rsidR="00FC5D1C">
              <w:rPr>
                <w:noProof/>
                <w:webHidden/>
              </w:rPr>
              <w:instrText xml:space="preserve"> PAGEREF _Toc58138516 \h </w:instrText>
            </w:r>
            <w:r w:rsidR="00FC5D1C">
              <w:rPr>
                <w:noProof/>
                <w:webHidden/>
              </w:rPr>
            </w:r>
            <w:r w:rsidR="00FC5D1C">
              <w:rPr>
                <w:noProof/>
                <w:webHidden/>
              </w:rPr>
              <w:fldChar w:fldCharType="separate"/>
            </w:r>
            <w:r w:rsidR="00933010">
              <w:rPr>
                <w:noProof/>
                <w:webHidden/>
              </w:rPr>
              <w:t>8</w:t>
            </w:r>
            <w:r w:rsidR="00FC5D1C">
              <w:rPr>
                <w:noProof/>
                <w:webHidden/>
              </w:rPr>
              <w:fldChar w:fldCharType="end"/>
            </w:r>
          </w:hyperlink>
        </w:p>
        <w:p w14:paraId="4EC92694" w14:textId="05475DB5" w:rsidR="00FC5D1C" w:rsidRDefault="00CF74DD">
          <w:pPr>
            <w:pStyle w:val="Obsah1"/>
            <w:rPr>
              <w:noProof/>
              <w:sz w:val="22"/>
              <w:szCs w:val="22"/>
              <w:lang w:eastAsia="cs-CZ"/>
            </w:rPr>
          </w:pPr>
          <w:hyperlink w:anchor="_Toc58138517" w:history="1">
            <w:r w:rsidR="00FC5D1C" w:rsidRPr="00B75593">
              <w:rPr>
                <w:rStyle w:val="Hypertextovodkaz"/>
                <w:noProof/>
              </w:rPr>
              <w:t>5.OČKOVÁNÍ U OSOB S PROKÁZANÝM ONEMOCNĚNÍM COVID-19</w:t>
            </w:r>
            <w:r w:rsidR="00FC5D1C">
              <w:rPr>
                <w:noProof/>
                <w:webHidden/>
              </w:rPr>
              <w:tab/>
            </w:r>
            <w:r w:rsidR="00FC5D1C">
              <w:rPr>
                <w:noProof/>
                <w:webHidden/>
              </w:rPr>
              <w:fldChar w:fldCharType="begin"/>
            </w:r>
            <w:r w:rsidR="00FC5D1C">
              <w:rPr>
                <w:noProof/>
                <w:webHidden/>
              </w:rPr>
              <w:instrText xml:space="preserve"> PAGEREF _Toc58138517 \h </w:instrText>
            </w:r>
            <w:r w:rsidR="00FC5D1C">
              <w:rPr>
                <w:noProof/>
                <w:webHidden/>
              </w:rPr>
            </w:r>
            <w:r w:rsidR="00FC5D1C">
              <w:rPr>
                <w:noProof/>
                <w:webHidden/>
              </w:rPr>
              <w:fldChar w:fldCharType="separate"/>
            </w:r>
            <w:r w:rsidR="00933010">
              <w:rPr>
                <w:noProof/>
                <w:webHidden/>
              </w:rPr>
              <w:t>8</w:t>
            </w:r>
            <w:r w:rsidR="00FC5D1C">
              <w:rPr>
                <w:noProof/>
                <w:webHidden/>
              </w:rPr>
              <w:fldChar w:fldCharType="end"/>
            </w:r>
          </w:hyperlink>
        </w:p>
        <w:p w14:paraId="15D9CCFE" w14:textId="16FB32DA" w:rsidR="00FC5D1C" w:rsidRDefault="00CF74DD">
          <w:pPr>
            <w:pStyle w:val="Obsah1"/>
            <w:rPr>
              <w:noProof/>
              <w:sz w:val="22"/>
              <w:szCs w:val="22"/>
              <w:lang w:eastAsia="cs-CZ"/>
            </w:rPr>
          </w:pPr>
          <w:hyperlink w:anchor="_Toc58138518" w:history="1">
            <w:r w:rsidR="00FC5D1C" w:rsidRPr="00B75593">
              <w:rPr>
                <w:rStyle w:val="Hypertextovodkaz"/>
                <w:noProof/>
              </w:rPr>
              <w:t>6. DISTRIBUCE VAKCÍN</w:t>
            </w:r>
            <w:r w:rsidR="00FC5D1C">
              <w:rPr>
                <w:noProof/>
                <w:webHidden/>
              </w:rPr>
              <w:tab/>
            </w:r>
            <w:r w:rsidR="00FC5D1C">
              <w:rPr>
                <w:noProof/>
                <w:webHidden/>
              </w:rPr>
              <w:fldChar w:fldCharType="begin"/>
            </w:r>
            <w:r w:rsidR="00FC5D1C">
              <w:rPr>
                <w:noProof/>
                <w:webHidden/>
              </w:rPr>
              <w:instrText xml:space="preserve"> PAGEREF _Toc58138518 \h </w:instrText>
            </w:r>
            <w:r w:rsidR="00FC5D1C">
              <w:rPr>
                <w:noProof/>
                <w:webHidden/>
              </w:rPr>
            </w:r>
            <w:r w:rsidR="00FC5D1C">
              <w:rPr>
                <w:noProof/>
                <w:webHidden/>
              </w:rPr>
              <w:fldChar w:fldCharType="separate"/>
            </w:r>
            <w:r w:rsidR="00933010">
              <w:rPr>
                <w:noProof/>
                <w:webHidden/>
              </w:rPr>
              <w:t>9</w:t>
            </w:r>
            <w:r w:rsidR="00FC5D1C">
              <w:rPr>
                <w:noProof/>
                <w:webHidden/>
              </w:rPr>
              <w:fldChar w:fldCharType="end"/>
            </w:r>
          </w:hyperlink>
        </w:p>
        <w:p w14:paraId="5F99DBDA" w14:textId="07B9521F" w:rsidR="00FC5D1C" w:rsidRDefault="00CF74DD">
          <w:pPr>
            <w:pStyle w:val="Obsah1"/>
            <w:rPr>
              <w:noProof/>
              <w:sz w:val="22"/>
              <w:szCs w:val="22"/>
              <w:lang w:eastAsia="cs-CZ"/>
            </w:rPr>
          </w:pPr>
          <w:hyperlink w:anchor="_Toc58138519" w:history="1">
            <w:r w:rsidR="00FC5D1C" w:rsidRPr="00B75593">
              <w:rPr>
                <w:rStyle w:val="Hypertextovodkaz"/>
                <w:noProof/>
              </w:rPr>
              <w:t>7. MATERIÁL K APLIKACI VAKCÍN</w:t>
            </w:r>
            <w:r w:rsidR="00FC5D1C">
              <w:rPr>
                <w:noProof/>
                <w:webHidden/>
              </w:rPr>
              <w:tab/>
            </w:r>
            <w:r w:rsidR="00FC5D1C">
              <w:rPr>
                <w:noProof/>
                <w:webHidden/>
              </w:rPr>
              <w:fldChar w:fldCharType="begin"/>
            </w:r>
            <w:r w:rsidR="00FC5D1C">
              <w:rPr>
                <w:noProof/>
                <w:webHidden/>
              </w:rPr>
              <w:instrText xml:space="preserve"> PAGEREF _Toc58138519 \h </w:instrText>
            </w:r>
            <w:r w:rsidR="00FC5D1C">
              <w:rPr>
                <w:noProof/>
                <w:webHidden/>
              </w:rPr>
            </w:r>
            <w:r w:rsidR="00FC5D1C">
              <w:rPr>
                <w:noProof/>
                <w:webHidden/>
              </w:rPr>
              <w:fldChar w:fldCharType="separate"/>
            </w:r>
            <w:r w:rsidR="00933010">
              <w:rPr>
                <w:noProof/>
                <w:webHidden/>
              </w:rPr>
              <w:t>9</w:t>
            </w:r>
            <w:r w:rsidR="00FC5D1C">
              <w:rPr>
                <w:noProof/>
                <w:webHidden/>
              </w:rPr>
              <w:fldChar w:fldCharType="end"/>
            </w:r>
          </w:hyperlink>
        </w:p>
        <w:p w14:paraId="2C942126" w14:textId="121BCF26" w:rsidR="00FC5D1C" w:rsidRDefault="00CF74DD">
          <w:pPr>
            <w:pStyle w:val="Obsah1"/>
            <w:rPr>
              <w:noProof/>
              <w:sz w:val="22"/>
              <w:szCs w:val="22"/>
              <w:lang w:eastAsia="cs-CZ"/>
            </w:rPr>
          </w:pPr>
          <w:hyperlink w:anchor="_Toc58138520" w:history="1">
            <w:r w:rsidR="00FC5D1C" w:rsidRPr="00B75593">
              <w:rPr>
                <w:rStyle w:val="Hypertextovodkaz"/>
                <w:noProof/>
              </w:rPr>
              <w:t>8. INDIKAČNÍ SKUPINY K OČKOVÁNÍ - - PRIORITIZACE</w:t>
            </w:r>
            <w:r w:rsidR="00FC5D1C">
              <w:rPr>
                <w:noProof/>
                <w:webHidden/>
              </w:rPr>
              <w:tab/>
            </w:r>
            <w:r w:rsidR="00FC5D1C">
              <w:rPr>
                <w:noProof/>
                <w:webHidden/>
              </w:rPr>
              <w:fldChar w:fldCharType="begin"/>
            </w:r>
            <w:r w:rsidR="00FC5D1C">
              <w:rPr>
                <w:noProof/>
                <w:webHidden/>
              </w:rPr>
              <w:instrText xml:space="preserve"> PAGEREF _Toc58138520 \h </w:instrText>
            </w:r>
            <w:r w:rsidR="00FC5D1C">
              <w:rPr>
                <w:noProof/>
                <w:webHidden/>
              </w:rPr>
            </w:r>
            <w:r w:rsidR="00FC5D1C">
              <w:rPr>
                <w:noProof/>
                <w:webHidden/>
              </w:rPr>
              <w:fldChar w:fldCharType="separate"/>
            </w:r>
            <w:r w:rsidR="00933010">
              <w:rPr>
                <w:noProof/>
                <w:webHidden/>
              </w:rPr>
              <w:t>10</w:t>
            </w:r>
            <w:r w:rsidR="00FC5D1C">
              <w:rPr>
                <w:noProof/>
                <w:webHidden/>
              </w:rPr>
              <w:fldChar w:fldCharType="end"/>
            </w:r>
          </w:hyperlink>
        </w:p>
        <w:p w14:paraId="49C8784F" w14:textId="5C27D6EE" w:rsidR="00FC5D1C" w:rsidRDefault="00CF74DD">
          <w:pPr>
            <w:pStyle w:val="Obsah1"/>
            <w:rPr>
              <w:noProof/>
              <w:sz w:val="22"/>
              <w:szCs w:val="22"/>
              <w:lang w:eastAsia="cs-CZ"/>
            </w:rPr>
          </w:pPr>
          <w:hyperlink w:anchor="_Toc58138521" w:history="1">
            <w:r w:rsidR="00FC5D1C" w:rsidRPr="00B75593">
              <w:rPr>
                <w:rStyle w:val="Hypertextovodkaz"/>
                <w:noProof/>
              </w:rPr>
              <w:t>9. FÁZE OČKOVÁNÍ</w:t>
            </w:r>
            <w:r w:rsidR="00FC5D1C">
              <w:rPr>
                <w:noProof/>
                <w:webHidden/>
              </w:rPr>
              <w:tab/>
            </w:r>
            <w:r w:rsidR="00FC5D1C">
              <w:rPr>
                <w:noProof/>
                <w:webHidden/>
              </w:rPr>
              <w:fldChar w:fldCharType="begin"/>
            </w:r>
            <w:r w:rsidR="00FC5D1C">
              <w:rPr>
                <w:noProof/>
                <w:webHidden/>
              </w:rPr>
              <w:instrText xml:space="preserve"> PAGEREF _Toc58138521 \h </w:instrText>
            </w:r>
            <w:r w:rsidR="00FC5D1C">
              <w:rPr>
                <w:noProof/>
                <w:webHidden/>
              </w:rPr>
            </w:r>
            <w:r w:rsidR="00FC5D1C">
              <w:rPr>
                <w:noProof/>
                <w:webHidden/>
              </w:rPr>
              <w:fldChar w:fldCharType="separate"/>
            </w:r>
            <w:r w:rsidR="00933010">
              <w:rPr>
                <w:noProof/>
                <w:webHidden/>
              </w:rPr>
              <w:t>11</w:t>
            </w:r>
            <w:r w:rsidR="00FC5D1C">
              <w:rPr>
                <w:noProof/>
                <w:webHidden/>
              </w:rPr>
              <w:fldChar w:fldCharType="end"/>
            </w:r>
          </w:hyperlink>
        </w:p>
        <w:p w14:paraId="2ABC4FCF" w14:textId="20D6F024" w:rsidR="00FC5D1C" w:rsidRDefault="00CF74DD">
          <w:pPr>
            <w:pStyle w:val="Obsah1"/>
            <w:rPr>
              <w:noProof/>
              <w:sz w:val="22"/>
              <w:szCs w:val="22"/>
              <w:lang w:eastAsia="cs-CZ"/>
            </w:rPr>
          </w:pPr>
          <w:hyperlink w:anchor="_Toc58138522" w:history="1">
            <w:r w:rsidR="00FC5D1C" w:rsidRPr="00B75593">
              <w:rPr>
                <w:rStyle w:val="Hypertextovodkaz"/>
                <w:noProof/>
              </w:rPr>
              <w:t>10. ÚHRADA VAKCÍN</w:t>
            </w:r>
            <w:r w:rsidR="00FC5D1C">
              <w:rPr>
                <w:noProof/>
                <w:webHidden/>
              </w:rPr>
              <w:tab/>
            </w:r>
            <w:r w:rsidR="00FC5D1C">
              <w:rPr>
                <w:noProof/>
                <w:webHidden/>
              </w:rPr>
              <w:fldChar w:fldCharType="begin"/>
            </w:r>
            <w:r w:rsidR="00FC5D1C">
              <w:rPr>
                <w:noProof/>
                <w:webHidden/>
              </w:rPr>
              <w:instrText xml:space="preserve"> PAGEREF _Toc58138522 \h </w:instrText>
            </w:r>
            <w:r w:rsidR="00FC5D1C">
              <w:rPr>
                <w:noProof/>
                <w:webHidden/>
              </w:rPr>
            </w:r>
            <w:r w:rsidR="00FC5D1C">
              <w:rPr>
                <w:noProof/>
                <w:webHidden/>
              </w:rPr>
              <w:fldChar w:fldCharType="separate"/>
            </w:r>
            <w:r w:rsidR="00933010">
              <w:rPr>
                <w:noProof/>
                <w:webHidden/>
              </w:rPr>
              <w:t>12</w:t>
            </w:r>
            <w:r w:rsidR="00FC5D1C">
              <w:rPr>
                <w:noProof/>
                <w:webHidden/>
              </w:rPr>
              <w:fldChar w:fldCharType="end"/>
            </w:r>
          </w:hyperlink>
        </w:p>
        <w:p w14:paraId="154E7B43" w14:textId="2D0589E8" w:rsidR="00FC5D1C" w:rsidRDefault="00CF74DD">
          <w:pPr>
            <w:pStyle w:val="Obsah1"/>
            <w:rPr>
              <w:noProof/>
              <w:sz w:val="22"/>
              <w:szCs w:val="22"/>
              <w:lang w:eastAsia="cs-CZ"/>
            </w:rPr>
          </w:pPr>
          <w:hyperlink w:anchor="_Toc58138523" w:history="1">
            <w:r w:rsidR="00FC5D1C" w:rsidRPr="00B75593">
              <w:rPr>
                <w:rStyle w:val="Hypertextovodkaz"/>
                <w:noProof/>
              </w:rPr>
              <w:t>11. PŘEDPOKLÁDANÉ MNOŽSTVÍ DÁVEK PRO ČR</w:t>
            </w:r>
            <w:r w:rsidR="00FC5D1C">
              <w:rPr>
                <w:noProof/>
                <w:webHidden/>
              </w:rPr>
              <w:tab/>
            </w:r>
            <w:r w:rsidR="00FC5D1C">
              <w:rPr>
                <w:noProof/>
                <w:webHidden/>
              </w:rPr>
              <w:fldChar w:fldCharType="begin"/>
            </w:r>
            <w:r w:rsidR="00FC5D1C">
              <w:rPr>
                <w:noProof/>
                <w:webHidden/>
              </w:rPr>
              <w:instrText xml:space="preserve"> PAGEREF _Toc58138523 \h </w:instrText>
            </w:r>
            <w:r w:rsidR="00FC5D1C">
              <w:rPr>
                <w:noProof/>
                <w:webHidden/>
              </w:rPr>
            </w:r>
            <w:r w:rsidR="00FC5D1C">
              <w:rPr>
                <w:noProof/>
                <w:webHidden/>
              </w:rPr>
              <w:fldChar w:fldCharType="separate"/>
            </w:r>
            <w:r w:rsidR="00933010">
              <w:rPr>
                <w:noProof/>
                <w:webHidden/>
              </w:rPr>
              <w:t>12</w:t>
            </w:r>
            <w:r w:rsidR="00FC5D1C">
              <w:rPr>
                <w:noProof/>
                <w:webHidden/>
              </w:rPr>
              <w:fldChar w:fldCharType="end"/>
            </w:r>
          </w:hyperlink>
        </w:p>
        <w:p w14:paraId="7EDB829E" w14:textId="33666CE6" w:rsidR="00FC5D1C" w:rsidRDefault="00CF74DD">
          <w:pPr>
            <w:pStyle w:val="Obsah1"/>
            <w:rPr>
              <w:noProof/>
              <w:sz w:val="22"/>
              <w:szCs w:val="22"/>
              <w:lang w:eastAsia="cs-CZ"/>
            </w:rPr>
          </w:pPr>
          <w:hyperlink w:anchor="_Toc58138524" w:history="1">
            <w:r w:rsidR="00FC5D1C" w:rsidRPr="00B75593">
              <w:rPr>
                <w:rStyle w:val="Hypertextovodkaz"/>
                <w:noProof/>
              </w:rPr>
              <w:t>12. REGISTRACE OČKOVÁNÍ A SLEDOVÁNÍ NEŽÁDOUCÍCH ÚČINKŮ</w:t>
            </w:r>
            <w:r w:rsidR="00FC5D1C">
              <w:rPr>
                <w:noProof/>
                <w:webHidden/>
              </w:rPr>
              <w:tab/>
            </w:r>
            <w:r w:rsidR="00FC5D1C">
              <w:rPr>
                <w:noProof/>
                <w:webHidden/>
              </w:rPr>
              <w:fldChar w:fldCharType="begin"/>
            </w:r>
            <w:r w:rsidR="00FC5D1C">
              <w:rPr>
                <w:noProof/>
                <w:webHidden/>
              </w:rPr>
              <w:instrText xml:space="preserve"> PAGEREF _Toc58138524 \h </w:instrText>
            </w:r>
            <w:r w:rsidR="00FC5D1C">
              <w:rPr>
                <w:noProof/>
                <w:webHidden/>
              </w:rPr>
            </w:r>
            <w:r w:rsidR="00FC5D1C">
              <w:rPr>
                <w:noProof/>
                <w:webHidden/>
              </w:rPr>
              <w:fldChar w:fldCharType="separate"/>
            </w:r>
            <w:r w:rsidR="00933010">
              <w:rPr>
                <w:noProof/>
                <w:webHidden/>
              </w:rPr>
              <w:t>13</w:t>
            </w:r>
            <w:r w:rsidR="00FC5D1C">
              <w:rPr>
                <w:noProof/>
                <w:webHidden/>
              </w:rPr>
              <w:fldChar w:fldCharType="end"/>
            </w:r>
          </w:hyperlink>
        </w:p>
        <w:p w14:paraId="462ED9F7" w14:textId="0F36E4D5" w:rsidR="00FC5D1C" w:rsidRDefault="00CF74DD">
          <w:pPr>
            <w:pStyle w:val="Obsah1"/>
            <w:rPr>
              <w:noProof/>
              <w:sz w:val="22"/>
              <w:szCs w:val="22"/>
              <w:lang w:eastAsia="cs-CZ"/>
            </w:rPr>
          </w:pPr>
          <w:hyperlink w:anchor="_Toc58138525" w:history="1">
            <w:r w:rsidR="00FC5D1C" w:rsidRPr="00B75593">
              <w:rPr>
                <w:rStyle w:val="Hypertextovodkaz"/>
                <w:noProof/>
              </w:rPr>
              <w:t>13. KOMUNIKACE</w:t>
            </w:r>
            <w:r w:rsidR="00FC5D1C">
              <w:rPr>
                <w:noProof/>
                <w:webHidden/>
              </w:rPr>
              <w:tab/>
            </w:r>
            <w:r w:rsidR="00FC5D1C">
              <w:rPr>
                <w:noProof/>
                <w:webHidden/>
              </w:rPr>
              <w:fldChar w:fldCharType="begin"/>
            </w:r>
            <w:r w:rsidR="00FC5D1C">
              <w:rPr>
                <w:noProof/>
                <w:webHidden/>
              </w:rPr>
              <w:instrText xml:space="preserve"> PAGEREF _Toc58138525 \h </w:instrText>
            </w:r>
            <w:r w:rsidR="00FC5D1C">
              <w:rPr>
                <w:noProof/>
                <w:webHidden/>
              </w:rPr>
            </w:r>
            <w:r w:rsidR="00FC5D1C">
              <w:rPr>
                <w:noProof/>
                <w:webHidden/>
              </w:rPr>
              <w:fldChar w:fldCharType="separate"/>
            </w:r>
            <w:r w:rsidR="00933010">
              <w:rPr>
                <w:noProof/>
                <w:webHidden/>
              </w:rPr>
              <w:t>15</w:t>
            </w:r>
            <w:r w:rsidR="00FC5D1C">
              <w:rPr>
                <w:noProof/>
                <w:webHidden/>
              </w:rPr>
              <w:fldChar w:fldCharType="end"/>
            </w:r>
          </w:hyperlink>
        </w:p>
        <w:p w14:paraId="0E6CA83C" w14:textId="2DAE93F5" w:rsidR="00FC5D1C" w:rsidRDefault="00CF74DD">
          <w:pPr>
            <w:pStyle w:val="Obsah1"/>
            <w:rPr>
              <w:noProof/>
              <w:sz w:val="22"/>
              <w:szCs w:val="22"/>
              <w:lang w:eastAsia="cs-CZ"/>
            </w:rPr>
          </w:pPr>
          <w:hyperlink w:anchor="_Toc58138526" w:history="1">
            <w:r w:rsidR="00FC5D1C" w:rsidRPr="00B75593">
              <w:rPr>
                <w:rStyle w:val="Hypertextovodkaz"/>
                <w:noProof/>
              </w:rPr>
              <w:t>14. OČKOVÁNÍ PROTI CHŘIPCE A PNEUMOKOKOVÝM ONEMOCNĚNÍM</w:t>
            </w:r>
            <w:r w:rsidR="00FC5D1C">
              <w:rPr>
                <w:noProof/>
                <w:webHidden/>
              </w:rPr>
              <w:tab/>
            </w:r>
            <w:r w:rsidR="00FC5D1C">
              <w:rPr>
                <w:noProof/>
                <w:webHidden/>
              </w:rPr>
              <w:fldChar w:fldCharType="begin"/>
            </w:r>
            <w:r w:rsidR="00FC5D1C">
              <w:rPr>
                <w:noProof/>
                <w:webHidden/>
              </w:rPr>
              <w:instrText xml:space="preserve"> PAGEREF _Toc58138526 \h </w:instrText>
            </w:r>
            <w:r w:rsidR="00FC5D1C">
              <w:rPr>
                <w:noProof/>
                <w:webHidden/>
              </w:rPr>
            </w:r>
            <w:r w:rsidR="00FC5D1C">
              <w:rPr>
                <w:noProof/>
                <w:webHidden/>
              </w:rPr>
              <w:fldChar w:fldCharType="separate"/>
            </w:r>
            <w:r w:rsidR="00933010">
              <w:rPr>
                <w:noProof/>
                <w:webHidden/>
              </w:rPr>
              <w:t>15</w:t>
            </w:r>
            <w:r w:rsidR="00FC5D1C">
              <w:rPr>
                <w:noProof/>
                <w:webHidden/>
              </w:rPr>
              <w:fldChar w:fldCharType="end"/>
            </w:r>
          </w:hyperlink>
        </w:p>
        <w:p w14:paraId="797EAE8E" w14:textId="42B44755" w:rsidR="00FC5D1C" w:rsidRDefault="00CF74DD">
          <w:pPr>
            <w:pStyle w:val="Obsah1"/>
            <w:rPr>
              <w:noProof/>
              <w:sz w:val="22"/>
              <w:szCs w:val="22"/>
              <w:lang w:eastAsia="cs-CZ"/>
            </w:rPr>
          </w:pPr>
          <w:hyperlink w:anchor="_Toc58138527" w:history="1">
            <w:r w:rsidR="00FC5D1C" w:rsidRPr="00B75593">
              <w:rPr>
                <w:rStyle w:val="Hypertextovodkaz"/>
                <w:noProof/>
              </w:rPr>
              <w:t>15. KARANTÉNA U OČKOVANÝCH OSOB</w:t>
            </w:r>
            <w:r w:rsidR="00FC5D1C">
              <w:rPr>
                <w:noProof/>
                <w:webHidden/>
              </w:rPr>
              <w:tab/>
            </w:r>
            <w:r w:rsidR="00FC5D1C">
              <w:rPr>
                <w:noProof/>
                <w:webHidden/>
              </w:rPr>
              <w:fldChar w:fldCharType="begin"/>
            </w:r>
            <w:r w:rsidR="00FC5D1C">
              <w:rPr>
                <w:noProof/>
                <w:webHidden/>
              </w:rPr>
              <w:instrText xml:space="preserve"> PAGEREF _Toc58138527 \h </w:instrText>
            </w:r>
            <w:r w:rsidR="00FC5D1C">
              <w:rPr>
                <w:noProof/>
                <w:webHidden/>
              </w:rPr>
            </w:r>
            <w:r w:rsidR="00FC5D1C">
              <w:rPr>
                <w:noProof/>
                <w:webHidden/>
              </w:rPr>
              <w:fldChar w:fldCharType="separate"/>
            </w:r>
            <w:r w:rsidR="00933010">
              <w:rPr>
                <w:noProof/>
                <w:webHidden/>
              </w:rPr>
              <w:t>16</w:t>
            </w:r>
            <w:r w:rsidR="00FC5D1C">
              <w:rPr>
                <w:noProof/>
                <w:webHidden/>
              </w:rPr>
              <w:fldChar w:fldCharType="end"/>
            </w:r>
          </w:hyperlink>
        </w:p>
        <w:p w14:paraId="0BFB7699" w14:textId="3304869E" w:rsidR="00FC5D1C" w:rsidRDefault="00CF74DD">
          <w:pPr>
            <w:pStyle w:val="Obsah1"/>
            <w:rPr>
              <w:noProof/>
              <w:sz w:val="22"/>
              <w:szCs w:val="22"/>
              <w:lang w:eastAsia="cs-CZ"/>
            </w:rPr>
          </w:pPr>
          <w:hyperlink w:anchor="_Toc58138528" w:history="1">
            <w:r w:rsidR="00FC5D1C" w:rsidRPr="00B75593">
              <w:rPr>
                <w:rStyle w:val="Hypertextovodkaz"/>
                <w:noProof/>
              </w:rPr>
              <w:t>16. POZNÁMKA</w:t>
            </w:r>
            <w:r w:rsidR="00FC5D1C">
              <w:rPr>
                <w:noProof/>
                <w:webHidden/>
              </w:rPr>
              <w:tab/>
            </w:r>
            <w:r w:rsidR="00FC5D1C">
              <w:rPr>
                <w:noProof/>
                <w:webHidden/>
              </w:rPr>
              <w:fldChar w:fldCharType="begin"/>
            </w:r>
            <w:r w:rsidR="00FC5D1C">
              <w:rPr>
                <w:noProof/>
                <w:webHidden/>
              </w:rPr>
              <w:instrText xml:space="preserve"> PAGEREF _Toc58138528 \h </w:instrText>
            </w:r>
            <w:r w:rsidR="00FC5D1C">
              <w:rPr>
                <w:noProof/>
                <w:webHidden/>
              </w:rPr>
            </w:r>
            <w:r w:rsidR="00FC5D1C">
              <w:rPr>
                <w:noProof/>
                <w:webHidden/>
              </w:rPr>
              <w:fldChar w:fldCharType="separate"/>
            </w:r>
            <w:r w:rsidR="00933010">
              <w:rPr>
                <w:noProof/>
                <w:webHidden/>
              </w:rPr>
              <w:t>16</w:t>
            </w:r>
            <w:r w:rsidR="00FC5D1C">
              <w:rPr>
                <w:noProof/>
                <w:webHidden/>
              </w:rPr>
              <w:fldChar w:fldCharType="end"/>
            </w:r>
          </w:hyperlink>
        </w:p>
        <w:p w14:paraId="318D2CCD" w14:textId="01CFB9A0" w:rsidR="00B32BF8" w:rsidRDefault="00B32BF8">
          <w:r>
            <w:rPr>
              <w:b/>
              <w:bCs/>
            </w:rPr>
            <w:fldChar w:fldCharType="end"/>
          </w:r>
        </w:p>
      </w:sdtContent>
    </w:sdt>
    <w:p w14:paraId="1C910D5D" w14:textId="4AF37C07" w:rsidR="00FD69B4" w:rsidRDefault="00FD69B4" w:rsidP="00C93F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b/>
          <w:bCs/>
          <w:caps/>
          <w:color w:val="4472C4"/>
          <w:sz w:val="32"/>
          <w:szCs w:val="32"/>
        </w:rPr>
      </w:pPr>
    </w:p>
    <w:p w14:paraId="79E9F0A8" w14:textId="3CF844A1" w:rsidR="00204A5C" w:rsidRDefault="00204A5C" w:rsidP="00C93F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b/>
          <w:bCs/>
          <w:caps/>
          <w:color w:val="4472C4"/>
          <w:sz w:val="32"/>
          <w:szCs w:val="32"/>
        </w:rPr>
      </w:pPr>
    </w:p>
    <w:p w14:paraId="1B6D972D" w14:textId="33A27496" w:rsidR="00204A5C" w:rsidRDefault="00204A5C" w:rsidP="00C93F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b/>
          <w:bCs/>
          <w:caps/>
          <w:color w:val="4472C4"/>
          <w:sz w:val="32"/>
          <w:szCs w:val="32"/>
        </w:rPr>
      </w:pPr>
    </w:p>
    <w:p w14:paraId="7A5F7854" w14:textId="7A21BD00" w:rsidR="00204A5C" w:rsidRDefault="00204A5C" w:rsidP="00C93F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b/>
          <w:bCs/>
          <w:caps/>
          <w:color w:val="4472C4"/>
          <w:sz w:val="32"/>
          <w:szCs w:val="32"/>
        </w:rPr>
      </w:pPr>
    </w:p>
    <w:p w14:paraId="7B5C92DF" w14:textId="207D16F4" w:rsidR="00204A5C" w:rsidRDefault="00204A5C" w:rsidP="00C93F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b/>
          <w:bCs/>
          <w:caps/>
          <w:color w:val="4472C4"/>
          <w:sz w:val="32"/>
          <w:szCs w:val="32"/>
        </w:rPr>
      </w:pPr>
    </w:p>
    <w:p w14:paraId="79E66448" w14:textId="62029263" w:rsidR="00204A5C" w:rsidRDefault="00204A5C" w:rsidP="00C93F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b/>
          <w:bCs/>
          <w:caps/>
          <w:color w:val="4472C4"/>
          <w:sz w:val="32"/>
          <w:szCs w:val="32"/>
        </w:rPr>
      </w:pPr>
    </w:p>
    <w:p w14:paraId="17B6CF3C" w14:textId="09F3669E" w:rsidR="00204A5C" w:rsidRDefault="00204A5C" w:rsidP="00C93F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b/>
          <w:bCs/>
          <w:caps/>
          <w:color w:val="4472C4"/>
          <w:sz w:val="32"/>
          <w:szCs w:val="32"/>
        </w:rPr>
      </w:pPr>
    </w:p>
    <w:p w14:paraId="59B47D69" w14:textId="6FC72D62" w:rsidR="00204A5C" w:rsidRDefault="00204A5C" w:rsidP="00C93F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b/>
          <w:bCs/>
          <w:caps/>
          <w:color w:val="4472C4"/>
          <w:sz w:val="32"/>
          <w:szCs w:val="32"/>
        </w:rPr>
      </w:pPr>
    </w:p>
    <w:p w14:paraId="47250907" w14:textId="79031C29" w:rsidR="00204A5C" w:rsidRDefault="00204A5C" w:rsidP="00C93F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b/>
          <w:bCs/>
          <w:caps/>
          <w:color w:val="4472C4"/>
          <w:sz w:val="32"/>
          <w:szCs w:val="32"/>
        </w:rPr>
      </w:pPr>
    </w:p>
    <w:p w14:paraId="075C4736" w14:textId="58DE685D" w:rsidR="00204A5C" w:rsidRDefault="00204A5C" w:rsidP="00C93F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b/>
          <w:bCs/>
          <w:caps/>
          <w:color w:val="4472C4"/>
          <w:sz w:val="32"/>
          <w:szCs w:val="32"/>
        </w:rPr>
      </w:pPr>
    </w:p>
    <w:p w14:paraId="67569658" w14:textId="534AD080" w:rsidR="00204A5C" w:rsidRDefault="00204A5C" w:rsidP="00C93F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b/>
          <w:bCs/>
          <w:caps/>
          <w:color w:val="4472C4"/>
          <w:sz w:val="32"/>
          <w:szCs w:val="32"/>
        </w:rPr>
      </w:pPr>
    </w:p>
    <w:p w14:paraId="782D9291" w14:textId="670295CA" w:rsidR="00204A5C" w:rsidRDefault="00204A5C" w:rsidP="00C93F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b/>
          <w:bCs/>
          <w:caps/>
          <w:color w:val="4472C4"/>
          <w:sz w:val="32"/>
          <w:szCs w:val="32"/>
        </w:rPr>
      </w:pPr>
    </w:p>
    <w:p w14:paraId="6939417E" w14:textId="148F31C3" w:rsidR="00204A5C" w:rsidRDefault="00204A5C" w:rsidP="00C93F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b/>
          <w:bCs/>
          <w:caps/>
          <w:color w:val="4472C4"/>
          <w:sz w:val="32"/>
          <w:szCs w:val="32"/>
        </w:rPr>
      </w:pPr>
    </w:p>
    <w:p w14:paraId="5474B844" w14:textId="08D2BF59" w:rsidR="00204A5C" w:rsidRDefault="00204A5C" w:rsidP="00C93F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b/>
          <w:bCs/>
          <w:caps/>
          <w:color w:val="4472C4"/>
          <w:sz w:val="32"/>
          <w:szCs w:val="32"/>
        </w:rPr>
      </w:pPr>
    </w:p>
    <w:p w14:paraId="2DD75539" w14:textId="1F3C48D4" w:rsidR="00EE3361" w:rsidRDefault="00C93F00" w:rsidP="00C93F00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</w:rPr>
      </w:pPr>
      <w:r w:rsidRPr="00AF667A">
        <w:rPr>
          <w:rStyle w:val="normaltextrun"/>
          <w:rFonts w:ascii="Calibri" w:hAnsi="Calibri" w:cs="Calibri"/>
        </w:rPr>
        <w:lastRenderedPageBreak/>
        <w:t xml:space="preserve">Strategie vychází ze současných poznatků o vyvíjených očkovacích látkách proti onemocnění </w:t>
      </w:r>
      <w:r w:rsidR="00343E21" w:rsidRPr="00AF667A">
        <w:rPr>
          <w:rStyle w:val="normaltextrun"/>
          <w:rFonts w:ascii="Calibri" w:hAnsi="Calibri" w:cs="Calibri"/>
        </w:rPr>
        <w:t>COVID</w:t>
      </w:r>
      <w:r w:rsidRPr="00AF667A">
        <w:rPr>
          <w:rStyle w:val="normaltextrun"/>
          <w:rFonts w:ascii="Calibri" w:hAnsi="Calibri" w:cs="Calibri"/>
        </w:rPr>
        <w:t>-19 s vědomím, že</w:t>
      </w:r>
      <w:r w:rsidR="00672DCC" w:rsidRPr="00AF667A">
        <w:rPr>
          <w:rStyle w:val="normaltextrun"/>
          <w:rFonts w:ascii="Calibri" w:hAnsi="Calibri" w:cs="Calibri"/>
        </w:rPr>
        <w:t xml:space="preserve"> zatím žádná z vakcín </w:t>
      </w:r>
      <w:r w:rsidR="00672DCC">
        <w:rPr>
          <w:rStyle w:val="normaltextrun"/>
          <w:rFonts w:ascii="Calibri" w:hAnsi="Calibri" w:cs="Calibri"/>
        </w:rPr>
        <w:t xml:space="preserve">dosud </w:t>
      </w:r>
      <w:r w:rsidR="00672DCC" w:rsidRPr="00AF667A">
        <w:rPr>
          <w:rStyle w:val="normaltextrun"/>
          <w:rFonts w:ascii="Calibri" w:hAnsi="Calibri" w:cs="Calibri"/>
        </w:rPr>
        <w:t xml:space="preserve">nebyla schválena a registrována </w:t>
      </w:r>
      <w:r w:rsidR="00143EB2">
        <w:rPr>
          <w:rStyle w:val="normaltextrun"/>
          <w:rFonts w:ascii="Calibri" w:hAnsi="Calibri" w:cs="Calibri"/>
        </w:rPr>
        <w:t>Evropskou agenturou pro léčivé přípravky (EMA), respektive Evropskou komisí</w:t>
      </w:r>
      <w:r w:rsidR="00672DCC" w:rsidRPr="00AF667A">
        <w:rPr>
          <w:rStyle w:val="normaltextrun"/>
          <w:rFonts w:ascii="Calibri" w:hAnsi="Calibri" w:cs="Calibri"/>
        </w:rPr>
        <w:t xml:space="preserve">. </w:t>
      </w:r>
    </w:p>
    <w:p w14:paraId="71A1C65F" w14:textId="77777777" w:rsidR="00F15C4B" w:rsidRPr="00AF667A" w:rsidRDefault="00F15C4B" w:rsidP="00C93F00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</w:rPr>
      </w:pPr>
    </w:p>
    <w:p w14:paraId="5D7C44FF" w14:textId="10B4B5BF" w:rsidR="00C93F00" w:rsidRPr="00204A5C" w:rsidRDefault="00C93F00" w:rsidP="00204A5C">
      <w:pPr>
        <w:pStyle w:val="Nadpis1"/>
      </w:pPr>
      <w:r w:rsidRPr="00204A5C">
        <w:rPr>
          <w:rStyle w:val="eop"/>
          <w:rFonts w:ascii="Calibri" w:hAnsi="Calibri" w:cs="Calibri"/>
          <w:b w:val="0"/>
        </w:rPr>
        <w:t> </w:t>
      </w:r>
      <w:bookmarkStart w:id="1" w:name="_Toc58138512"/>
      <w:r w:rsidR="00204A5C" w:rsidRPr="00204A5C">
        <w:rPr>
          <w:rStyle w:val="eop"/>
          <w:rFonts w:ascii="Calibri" w:hAnsi="Calibri" w:cs="Calibri"/>
        </w:rPr>
        <w:t>ÚVOD</w:t>
      </w:r>
      <w:bookmarkEnd w:id="1"/>
    </w:p>
    <w:p w14:paraId="35AA0ECB" w14:textId="77777777" w:rsidR="00204A5C" w:rsidRDefault="00204A5C" w:rsidP="00C93F0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</w:rPr>
      </w:pPr>
    </w:p>
    <w:p w14:paraId="1AFDAEFD" w14:textId="3F53385A" w:rsidR="00C95D55" w:rsidRDefault="00C93F00" w:rsidP="00C93F0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  <w:r w:rsidRPr="00AF667A">
        <w:rPr>
          <w:rStyle w:val="normaltextrun"/>
          <w:rFonts w:ascii="Calibri" w:hAnsi="Calibri" w:cs="Calibri"/>
        </w:rPr>
        <w:t xml:space="preserve">Nejúčinnějším nástrojem kontroly současné pandemie nového onemocnění </w:t>
      </w:r>
      <w:r w:rsidR="00343E21" w:rsidRPr="00E62A3D">
        <w:rPr>
          <w:rStyle w:val="normaltextrun"/>
          <w:rFonts w:ascii="Calibri" w:hAnsi="Calibri" w:cs="Calibri"/>
        </w:rPr>
        <w:t>COVID</w:t>
      </w:r>
      <w:r w:rsidRPr="00E62A3D">
        <w:rPr>
          <w:rStyle w:val="normaltextrun"/>
          <w:rFonts w:ascii="Calibri" w:hAnsi="Calibri" w:cs="Calibri"/>
        </w:rPr>
        <w:t xml:space="preserve">-19 je očkování. </w:t>
      </w:r>
      <w:r w:rsidR="00492810" w:rsidRPr="00E62A3D">
        <w:rPr>
          <w:rStyle w:val="normaltextrun"/>
          <w:rFonts w:ascii="Calibri" w:hAnsi="Calibri" w:cs="Calibri"/>
        </w:rPr>
        <w:t>První pandemické onemocnění novým </w:t>
      </w:r>
      <w:r w:rsidR="00492810" w:rsidRPr="00E62A3D">
        <w:rPr>
          <w:rStyle w:val="spellingerror"/>
          <w:rFonts w:ascii="Calibri" w:hAnsi="Calibri" w:cs="Calibri"/>
        </w:rPr>
        <w:t>koronavirem</w:t>
      </w:r>
      <w:r w:rsidR="00492810" w:rsidRPr="00E62A3D">
        <w:rPr>
          <w:rStyle w:val="normaltextrun"/>
          <w:rFonts w:ascii="Calibri" w:hAnsi="Calibri" w:cs="Calibri"/>
        </w:rPr>
        <w:t>, SARS, se objevilo před téměř 20 lety, další </w:t>
      </w:r>
      <w:r w:rsidR="00492810" w:rsidRPr="00E62A3D">
        <w:rPr>
          <w:rStyle w:val="spellingerror"/>
          <w:rFonts w:ascii="Calibri" w:hAnsi="Calibri" w:cs="Calibri"/>
        </w:rPr>
        <w:t>koronavirové</w:t>
      </w:r>
      <w:r w:rsidR="00492810" w:rsidRPr="00E62A3D">
        <w:rPr>
          <w:rStyle w:val="normaltextrun"/>
          <w:rFonts w:ascii="Calibri" w:hAnsi="Calibri" w:cs="Calibri"/>
        </w:rPr>
        <w:t> onemocnění, MERS, před 8 lety a dosud stále není k dispozici žádná účinná vakcína proti těmto nákazám</w:t>
      </w:r>
      <w:r w:rsidR="00492810" w:rsidRPr="00E62A3D">
        <w:rPr>
          <w:rStyle w:val="normaltextrun"/>
          <w:rFonts w:ascii="Calibri" w:hAnsi="Calibri"/>
        </w:rPr>
        <w:t>. </w:t>
      </w:r>
      <w:r w:rsidR="00492810" w:rsidRPr="00E62A3D">
        <w:rPr>
          <w:rStyle w:val="normaltextrun"/>
          <w:rFonts w:ascii="Calibri" w:hAnsi="Calibri" w:cs="Calibri"/>
        </w:rPr>
        <w:t>Je to dáno zejména tím, že tyto epidemie se podařilo kontrolovat, a proto se ve vývoji očkovacích látek dále nepokračovalo.</w:t>
      </w:r>
      <w:r w:rsidR="00492810">
        <w:rPr>
          <w:rStyle w:val="normaltextrun"/>
          <w:rFonts w:ascii="Calibri" w:hAnsi="Calibri" w:cs="Calibri"/>
        </w:rPr>
        <w:t xml:space="preserve"> Situace ve vývoji vakcíny proti COVID-19 je jiná. Díky společnému úsilí velkého množství výzkumných týmů světa, se prakticky za 65 dnů po objevení se nového koronaviru </w:t>
      </w:r>
      <w:r w:rsidR="00047FB5">
        <w:rPr>
          <w:rStyle w:val="normaltextrun"/>
          <w:rFonts w:ascii="Calibri" w:hAnsi="Calibri" w:cs="Calibri"/>
        </w:rPr>
        <w:t xml:space="preserve">podařilo </w:t>
      </w:r>
      <w:r w:rsidR="00492810">
        <w:rPr>
          <w:rStyle w:val="normaltextrun"/>
          <w:rFonts w:ascii="Calibri" w:hAnsi="Calibri" w:cs="Calibri"/>
        </w:rPr>
        <w:t>objevit antigenní součást</w:t>
      </w:r>
      <w:r w:rsidR="00047FB5">
        <w:rPr>
          <w:rStyle w:val="normaltextrun"/>
          <w:rFonts w:ascii="Calibri" w:hAnsi="Calibri" w:cs="Calibri"/>
        </w:rPr>
        <w:t>i</w:t>
      </w:r>
      <w:r w:rsidR="00492810">
        <w:rPr>
          <w:rStyle w:val="normaltextrun"/>
          <w:rFonts w:ascii="Calibri" w:hAnsi="Calibri" w:cs="Calibri"/>
        </w:rPr>
        <w:t xml:space="preserve"> viru, které jsou nezbytné k vývoji a přípravě očkovací látky. </w:t>
      </w:r>
      <w:r w:rsidR="00047FB5">
        <w:rPr>
          <w:rStyle w:val="normaltextrun"/>
          <w:rFonts w:ascii="Calibri" w:hAnsi="Calibri" w:cs="Calibri"/>
        </w:rPr>
        <w:t>Zastavení a</w:t>
      </w:r>
      <w:r w:rsidRPr="00E62A3D">
        <w:rPr>
          <w:rStyle w:val="normaltextrun"/>
          <w:rFonts w:ascii="Calibri" w:hAnsi="Calibri" w:cs="Calibri"/>
        </w:rPr>
        <w:t xml:space="preserve"> prevence šíření nákazy v populaci a ochrany jednotlivce </w:t>
      </w:r>
      <w:r w:rsidR="00047FB5">
        <w:rPr>
          <w:rStyle w:val="normaltextrun"/>
          <w:rFonts w:ascii="Calibri" w:hAnsi="Calibri" w:cs="Calibri"/>
        </w:rPr>
        <w:t xml:space="preserve">lze dosáhnout pomoci </w:t>
      </w:r>
      <w:r w:rsidRPr="00E62A3D">
        <w:rPr>
          <w:rStyle w:val="normaltextrun"/>
          <w:rFonts w:ascii="Calibri" w:hAnsi="Calibri" w:cs="Calibri"/>
        </w:rPr>
        <w:t xml:space="preserve">očkování, které </w:t>
      </w:r>
      <w:r w:rsidR="00047FB5">
        <w:rPr>
          <w:rStyle w:val="normaltextrun"/>
          <w:rFonts w:ascii="Calibri" w:hAnsi="Calibri" w:cs="Calibri"/>
        </w:rPr>
        <w:t>se bude řídit</w:t>
      </w:r>
      <w:r w:rsidRPr="00E62A3D">
        <w:rPr>
          <w:rStyle w:val="normaltextrun"/>
          <w:rFonts w:ascii="Calibri" w:hAnsi="Calibri" w:cs="Calibri"/>
        </w:rPr>
        <w:t xml:space="preserve"> přijatou vakcinační strategií. Jakmile bude očkovací látka proti onemocnění </w:t>
      </w:r>
      <w:r w:rsidR="00343E21" w:rsidRPr="00E62A3D">
        <w:rPr>
          <w:rStyle w:val="normaltextrun"/>
          <w:rFonts w:ascii="Calibri" w:hAnsi="Calibri" w:cs="Calibri"/>
        </w:rPr>
        <w:t>COVID</w:t>
      </w:r>
      <w:r w:rsidRPr="00E62A3D">
        <w:rPr>
          <w:rStyle w:val="normaltextrun"/>
          <w:rFonts w:ascii="Calibri" w:hAnsi="Calibri" w:cs="Calibri"/>
        </w:rPr>
        <w:t>-19 registrována</w:t>
      </w:r>
      <w:r w:rsidR="00047FB5">
        <w:rPr>
          <w:rStyle w:val="normaltextrun"/>
          <w:rFonts w:ascii="Calibri" w:hAnsi="Calibri" w:cs="Calibri"/>
        </w:rPr>
        <w:t xml:space="preserve"> a schválena</w:t>
      </w:r>
      <w:r w:rsidRPr="00E62A3D">
        <w:rPr>
          <w:rStyle w:val="normaltextrun"/>
          <w:rFonts w:ascii="Calibri" w:hAnsi="Calibri" w:cs="Calibri"/>
        </w:rPr>
        <w:t xml:space="preserve"> pro použití v Evropě a dostupná v ČR, bude nezbytné tuto strategii implementovat do běžné praxe a využívat v organizaci očkování. Strategie očkování byla odborně navržena Českou </w:t>
      </w:r>
      <w:r w:rsidRPr="00E62A3D">
        <w:rPr>
          <w:rStyle w:val="spellingerror"/>
          <w:rFonts w:ascii="Calibri" w:hAnsi="Calibri" w:cs="Calibri"/>
        </w:rPr>
        <w:t>vakcinologickou</w:t>
      </w:r>
      <w:r w:rsidRPr="00E62A3D">
        <w:rPr>
          <w:rStyle w:val="normaltextrun"/>
          <w:rFonts w:ascii="Calibri" w:hAnsi="Calibri" w:cs="Calibri"/>
        </w:rPr>
        <w:t xml:space="preserve"> společností ČLS JEP, projednána klinickou skupinou Covid II MZ a schválena Národní imunizační komisí ČR. Hlavním cílem vakcinace proti </w:t>
      </w:r>
      <w:r w:rsidR="00343E21" w:rsidRPr="00E62A3D">
        <w:rPr>
          <w:rStyle w:val="normaltextrun"/>
          <w:rFonts w:ascii="Calibri" w:hAnsi="Calibri" w:cs="Calibri"/>
        </w:rPr>
        <w:t>COVID</w:t>
      </w:r>
      <w:r w:rsidRPr="00E62A3D">
        <w:rPr>
          <w:rStyle w:val="normaltextrun"/>
          <w:rFonts w:ascii="Calibri" w:hAnsi="Calibri" w:cs="Calibri"/>
        </w:rPr>
        <w:t>-19 je ochrana obyvatel před onemocněním a zabránění šíření</w:t>
      </w:r>
      <w:r w:rsidRPr="00AF667A">
        <w:rPr>
          <w:rStyle w:val="normaltextrun"/>
          <w:rFonts w:ascii="Calibri" w:hAnsi="Calibri" w:cs="Calibri"/>
        </w:rPr>
        <w:t xml:space="preserve"> nákazy v populaci, což vede k minimalizaci počtu úmrtí, minimalizaci přetížení akutních a intenzivních lůžek ve zdravotnických zařízeních, ochraně zdravotnických pracovníků a ochraně složek kritické infrastruktury země.</w:t>
      </w:r>
      <w:r w:rsidRPr="00AF667A">
        <w:rPr>
          <w:rStyle w:val="eop"/>
          <w:rFonts w:ascii="Calibri" w:hAnsi="Calibri" w:cs="Calibri"/>
        </w:rPr>
        <w:t> </w:t>
      </w:r>
      <w:r w:rsidR="005D597E">
        <w:rPr>
          <w:rStyle w:val="eop"/>
          <w:rFonts w:ascii="Calibri" w:hAnsi="Calibri" w:cs="Calibri"/>
        </w:rPr>
        <w:t xml:space="preserve">Cílem je získat bezpečné a účinné očkovací látky co nejrychleji to bude možné a v dostatečném </w:t>
      </w:r>
      <w:r w:rsidR="00A2432A">
        <w:rPr>
          <w:rStyle w:val="eop"/>
          <w:rFonts w:ascii="Calibri" w:hAnsi="Calibri" w:cs="Calibri"/>
        </w:rPr>
        <w:t>množství, aby bylo možné jejich široké veřejné použití.</w:t>
      </w:r>
      <w:r w:rsidR="001A632A">
        <w:rPr>
          <w:rStyle w:val="eop"/>
          <w:rFonts w:ascii="Calibri" w:hAnsi="Calibri" w:cs="Calibri"/>
        </w:rPr>
        <w:t xml:space="preserve"> Česká republika se aktivně podílí na získávání očkovacích látek v rámci společného postupu s ostatními členskými státy EU zapojením do jednání Evropské komise. </w:t>
      </w:r>
      <w:r w:rsidR="005F32DF">
        <w:rPr>
          <w:rStyle w:val="eop"/>
          <w:rFonts w:ascii="Calibri" w:hAnsi="Calibri" w:cs="Calibri"/>
        </w:rPr>
        <w:t xml:space="preserve">Jakmile bude použití jednotlivých očkovacích látek v Evropě schválené Evropskou komisí, bude možné zahájit postupné dodávky </w:t>
      </w:r>
      <w:r w:rsidR="00417119">
        <w:rPr>
          <w:rStyle w:val="eop"/>
          <w:rFonts w:ascii="Calibri" w:hAnsi="Calibri" w:cs="Calibri"/>
        </w:rPr>
        <w:t>vakcín do ČR. Zejména v prvních měsících budou dodávky omezené co do počtu dávek v závislosti na výrobních kapacitách výrobců.</w:t>
      </w:r>
      <w:r w:rsidR="001A632A">
        <w:rPr>
          <w:rStyle w:val="eop"/>
          <w:rFonts w:ascii="Calibri" w:hAnsi="Calibri" w:cs="Calibri"/>
        </w:rPr>
        <w:t xml:space="preserve"> Z tohoto důvodu je nezbytné určit prioritizaci konkrétních populačních</w:t>
      </w:r>
      <w:r w:rsidR="00397879">
        <w:rPr>
          <w:rStyle w:val="eop"/>
          <w:rFonts w:ascii="Calibri" w:hAnsi="Calibri" w:cs="Calibri"/>
        </w:rPr>
        <w:t xml:space="preserve"> a profesních skupin, které by měly být očkovány jako první.</w:t>
      </w:r>
      <w:r w:rsidR="00FE4BC2">
        <w:rPr>
          <w:rStyle w:val="eop"/>
          <w:rFonts w:ascii="Calibri" w:hAnsi="Calibri" w:cs="Calibri"/>
        </w:rPr>
        <w:t xml:space="preserve"> </w:t>
      </w:r>
    </w:p>
    <w:p w14:paraId="74FEC964" w14:textId="55605830" w:rsidR="00C93F00" w:rsidRDefault="00FE4BC2" w:rsidP="00C93F0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Vzhledem k</w:t>
      </w:r>
      <w:r w:rsidR="007953A7">
        <w:rPr>
          <w:rStyle w:val="eop"/>
          <w:rFonts w:ascii="Calibri" w:hAnsi="Calibri" w:cs="Calibri"/>
        </w:rPr>
        <w:t xml:space="preserve"> počátečním omezeným </w:t>
      </w:r>
      <w:r w:rsidR="0083275F">
        <w:rPr>
          <w:rStyle w:val="eop"/>
          <w:rFonts w:ascii="Calibri" w:hAnsi="Calibri" w:cs="Calibri"/>
        </w:rPr>
        <w:t>dodávk</w:t>
      </w:r>
      <w:r w:rsidR="007953A7">
        <w:rPr>
          <w:rStyle w:val="eop"/>
          <w:rFonts w:ascii="Calibri" w:hAnsi="Calibri" w:cs="Calibri"/>
        </w:rPr>
        <w:t>ám</w:t>
      </w:r>
      <w:r w:rsidR="0083275F">
        <w:rPr>
          <w:rStyle w:val="eop"/>
          <w:rFonts w:ascii="Calibri" w:hAnsi="Calibri" w:cs="Calibri"/>
        </w:rPr>
        <w:t xml:space="preserve"> očkovacích látek</w:t>
      </w:r>
      <w:r w:rsidR="007953A7">
        <w:rPr>
          <w:rStyle w:val="eop"/>
          <w:rFonts w:ascii="Calibri" w:hAnsi="Calibri" w:cs="Calibri"/>
        </w:rPr>
        <w:t xml:space="preserve">, </w:t>
      </w:r>
      <w:r w:rsidR="0083275F">
        <w:rPr>
          <w:rStyle w:val="eop"/>
          <w:rFonts w:ascii="Calibri" w:hAnsi="Calibri" w:cs="Calibri"/>
        </w:rPr>
        <w:t>k prioritizaci vybraných skupin a náročným skladovacím a transportním podmínkám některých vakcín</w:t>
      </w:r>
      <w:r w:rsidR="005B64A4">
        <w:rPr>
          <w:rStyle w:val="eop"/>
          <w:rFonts w:ascii="Calibri" w:hAnsi="Calibri" w:cs="Calibri"/>
        </w:rPr>
        <w:t xml:space="preserve">, bude výhodnější provádět očkování v první fázi ve vybraných </w:t>
      </w:r>
      <w:r w:rsidR="007107EF">
        <w:rPr>
          <w:rStyle w:val="eop"/>
          <w:rFonts w:ascii="Calibri" w:hAnsi="Calibri" w:cs="Calibri"/>
        </w:rPr>
        <w:t>regionálních</w:t>
      </w:r>
      <w:r w:rsidR="00277C24">
        <w:rPr>
          <w:rStyle w:val="eop"/>
          <w:rFonts w:ascii="Calibri" w:hAnsi="Calibri" w:cs="Calibri"/>
        </w:rPr>
        <w:t xml:space="preserve"> centralizovaných</w:t>
      </w:r>
      <w:r w:rsidR="007107EF">
        <w:rPr>
          <w:rStyle w:val="eop"/>
          <w:rFonts w:ascii="Calibri" w:hAnsi="Calibri" w:cs="Calibri"/>
        </w:rPr>
        <w:t xml:space="preserve"> </w:t>
      </w:r>
      <w:r w:rsidR="005B64A4">
        <w:rPr>
          <w:rStyle w:val="eop"/>
          <w:rFonts w:ascii="Calibri" w:hAnsi="Calibri" w:cs="Calibri"/>
        </w:rPr>
        <w:t xml:space="preserve">očkovacích centrech s podporou mobilních týmů. Jakmile budou vakcíny dostupné v dostatečném množství, distribuce a skladování budou možné za obvyklých podmínek, bude cílem zapojit </w:t>
      </w:r>
      <w:r w:rsidR="007107EF">
        <w:rPr>
          <w:rStyle w:val="eop"/>
          <w:rFonts w:ascii="Calibri" w:hAnsi="Calibri" w:cs="Calibri"/>
        </w:rPr>
        <w:t xml:space="preserve">do očkování </w:t>
      </w:r>
      <w:r w:rsidR="005B64A4">
        <w:rPr>
          <w:rStyle w:val="eop"/>
          <w:rFonts w:ascii="Calibri" w:hAnsi="Calibri" w:cs="Calibri"/>
        </w:rPr>
        <w:t xml:space="preserve">ostatní složky zdravotní péče, </w:t>
      </w:r>
      <w:r w:rsidR="007953A7">
        <w:rPr>
          <w:rStyle w:val="eop"/>
          <w:rFonts w:ascii="Calibri" w:hAnsi="Calibri" w:cs="Calibri"/>
        </w:rPr>
        <w:t xml:space="preserve">včetně </w:t>
      </w:r>
      <w:r w:rsidR="001A4A87">
        <w:rPr>
          <w:rStyle w:val="eop"/>
          <w:rFonts w:ascii="Calibri" w:hAnsi="Calibri" w:cs="Calibri"/>
        </w:rPr>
        <w:t>poskytovatelů v oboru všeobecné praktické lékařství.</w:t>
      </w:r>
      <w:r w:rsidR="005B64A4">
        <w:rPr>
          <w:rStyle w:val="eop"/>
          <w:rFonts w:ascii="Calibri" w:hAnsi="Calibri" w:cs="Calibri"/>
        </w:rPr>
        <w:t xml:space="preserve"> </w:t>
      </w:r>
    </w:p>
    <w:p w14:paraId="5F1FEDC5" w14:textId="1C59A572" w:rsidR="00204A5C" w:rsidRDefault="007107EF" w:rsidP="00C93F0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 xml:space="preserve">Tento dokument stanovuje nejdůležitější součásti strategie očkování proti onemocnění COVID-19 a popisuje systém, který v České republice zajistí očkování populace podle </w:t>
      </w:r>
      <w:r>
        <w:rPr>
          <w:rStyle w:val="eop"/>
          <w:rFonts w:ascii="Calibri" w:hAnsi="Calibri" w:cs="Calibri"/>
        </w:rPr>
        <w:lastRenderedPageBreak/>
        <w:t>jednotných a standardních pravidel. K zajištění bezpečné a účinné implementace očkovací strategie je nezbytná proaktivní komunikace a široká vědecká podpora.</w:t>
      </w:r>
    </w:p>
    <w:p w14:paraId="362CBF83" w14:textId="67C8A67A" w:rsidR="007107EF" w:rsidRDefault="00F15C4B" w:rsidP="00C93F0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Do organizace, zajištění a implementaci strategie očkování bude zapojeno více subjektů, jejich přehled uvádí tabulka 1.</w:t>
      </w:r>
    </w:p>
    <w:p w14:paraId="17A78AB0" w14:textId="0523507B" w:rsidR="00F15C4B" w:rsidRDefault="00F15C4B" w:rsidP="00C93F0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</w:p>
    <w:p w14:paraId="0092402E" w14:textId="77777777" w:rsidR="00047FB5" w:rsidRDefault="00047FB5" w:rsidP="00F15C4B">
      <w:pPr>
        <w:pStyle w:val="Tablecaption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1898BA26" w14:textId="1D64784E" w:rsidR="00F15C4B" w:rsidRDefault="00F15C4B" w:rsidP="00F15C4B">
      <w:pPr>
        <w:pStyle w:val="Tablecaption0"/>
        <w:rPr>
          <w:rFonts w:asciiTheme="minorHAnsi" w:hAnsiTheme="minorHAnsi" w:cstheme="minorHAnsi"/>
          <w:b/>
          <w:iCs w:val="0"/>
          <w:color w:val="000000" w:themeColor="text1"/>
          <w:sz w:val="24"/>
          <w:szCs w:val="24"/>
        </w:rPr>
      </w:pPr>
      <w:r w:rsidRPr="0090253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Tabulka 1:</w:t>
      </w:r>
      <w:r w:rsidRPr="0090253F">
        <w:rPr>
          <w:rFonts w:asciiTheme="minorHAnsi" w:hAnsiTheme="minorHAnsi" w:cstheme="minorHAnsi"/>
          <w:b/>
          <w:iCs w:val="0"/>
          <w:color w:val="000000" w:themeColor="text1"/>
          <w:sz w:val="24"/>
          <w:szCs w:val="24"/>
        </w:rPr>
        <w:t xml:space="preserve"> Přehled složek a zúčastněných subjektů </w:t>
      </w:r>
    </w:p>
    <w:p w14:paraId="32681716" w14:textId="77777777" w:rsidR="00047FB5" w:rsidRPr="0090253F" w:rsidRDefault="00047FB5" w:rsidP="00F15C4B">
      <w:pPr>
        <w:pStyle w:val="Tablecaption0"/>
        <w:rPr>
          <w:rFonts w:asciiTheme="minorHAnsi" w:hAnsiTheme="minorHAnsi" w:cstheme="minorHAnsi"/>
          <w:b/>
          <w:iCs w:val="0"/>
          <w:color w:val="000000" w:themeColor="text1"/>
          <w:sz w:val="24"/>
          <w:szCs w:val="24"/>
        </w:rPr>
      </w:pPr>
    </w:p>
    <w:p w14:paraId="5ACA800F" w14:textId="77777777" w:rsidR="00F15C4B" w:rsidRDefault="00F15C4B" w:rsidP="00F15C4B">
      <w:pPr>
        <w:pStyle w:val="Tablecaption0"/>
        <w:rPr>
          <w:sz w:val="19"/>
          <w:szCs w:val="19"/>
        </w:rPr>
      </w:pPr>
    </w:p>
    <w:tbl>
      <w:tblPr>
        <w:tblOverlap w:val="never"/>
        <w:tblW w:w="909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1"/>
        <w:gridCol w:w="5880"/>
      </w:tblGrid>
      <w:tr w:rsidR="0090253F" w14:paraId="04A00564" w14:textId="77777777" w:rsidTr="0090253F">
        <w:trPr>
          <w:trHeight w:hRule="exact" w:val="552"/>
          <w:jc w:val="center"/>
        </w:trPr>
        <w:tc>
          <w:tcPr>
            <w:tcW w:w="321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0070C0"/>
            <w:vAlign w:val="center"/>
          </w:tcPr>
          <w:p w14:paraId="244BEA45" w14:textId="2D966C3D" w:rsidR="0090253F" w:rsidRPr="0090253F" w:rsidRDefault="0090253F" w:rsidP="0090253F">
            <w:pPr>
              <w:pStyle w:val="Other0"/>
              <w:spacing w:after="0" w:line="240" w:lineRule="auto"/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</w:pPr>
            <w:r w:rsidRPr="0090253F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  <w:t>Složky</w:t>
            </w:r>
          </w:p>
        </w:tc>
        <w:tc>
          <w:tcPr>
            <w:tcW w:w="588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0070C0"/>
            <w:vAlign w:val="center"/>
          </w:tcPr>
          <w:p w14:paraId="0F672FC3" w14:textId="427D3F50" w:rsidR="0090253F" w:rsidRPr="0090253F" w:rsidRDefault="0090253F" w:rsidP="0090253F">
            <w:pPr>
              <w:pStyle w:val="Other0"/>
              <w:spacing w:after="0" w:line="233" w:lineRule="auto"/>
              <w:ind w:left="160"/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 w:rsidRPr="0090253F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Zúčastněné subjekty</w:t>
            </w:r>
          </w:p>
        </w:tc>
      </w:tr>
      <w:tr w:rsidR="00F15C4B" w14:paraId="3765669D" w14:textId="77777777" w:rsidTr="0090253F">
        <w:trPr>
          <w:trHeight w:hRule="exact" w:val="552"/>
          <w:jc w:val="center"/>
        </w:trPr>
        <w:tc>
          <w:tcPr>
            <w:tcW w:w="3211" w:type="dxa"/>
            <w:tcBorders>
              <w:top w:val="single" w:sz="4" w:space="0" w:color="4472C4" w:themeColor="accent1"/>
              <w:left w:val="single" w:sz="4" w:space="0" w:color="auto"/>
            </w:tcBorders>
            <w:shd w:val="clear" w:color="auto" w:fill="FFFFFF"/>
          </w:tcPr>
          <w:p w14:paraId="47711E97" w14:textId="77777777" w:rsidR="00F15C4B" w:rsidRDefault="00F15C4B" w:rsidP="00F15C4B">
            <w:pPr>
              <w:pStyle w:val="Other0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Vývoj vakcín</w:t>
            </w:r>
          </w:p>
        </w:tc>
        <w:tc>
          <w:tcPr>
            <w:tcW w:w="5880" w:type="dxa"/>
            <w:tcBorders>
              <w:top w:val="single" w:sz="4" w:space="0" w:color="4472C4" w:themeColor="accent1"/>
              <w:right w:val="single" w:sz="4" w:space="0" w:color="auto"/>
            </w:tcBorders>
            <w:shd w:val="clear" w:color="auto" w:fill="FFFFFF"/>
          </w:tcPr>
          <w:p w14:paraId="59AF5BE6" w14:textId="024ED94B" w:rsidR="00F15C4B" w:rsidRDefault="00F15C4B" w:rsidP="00F15C4B">
            <w:pPr>
              <w:pStyle w:val="Other0"/>
              <w:spacing w:after="0" w:line="233" w:lineRule="auto"/>
              <w:ind w:left="160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Univerzity, světové výzkumné týmy, farmaceutické společnosti</w:t>
            </w:r>
          </w:p>
        </w:tc>
      </w:tr>
      <w:tr w:rsidR="00F15C4B" w14:paraId="5F740667" w14:textId="77777777" w:rsidTr="0090253F">
        <w:trPr>
          <w:trHeight w:hRule="exact" w:val="811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1E69A1" w14:textId="77777777" w:rsidR="00F15C4B" w:rsidRDefault="00F15C4B" w:rsidP="00F15C4B">
            <w:pPr>
              <w:pStyle w:val="Other0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Schvalování</w:t>
            </w:r>
          </w:p>
        </w:tc>
        <w:tc>
          <w:tcPr>
            <w:tcW w:w="58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72219" w14:textId="1D8CB91E" w:rsidR="00F15C4B" w:rsidRDefault="00F15C4B" w:rsidP="00F15C4B">
            <w:pPr>
              <w:pStyle w:val="Other0"/>
              <w:spacing w:after="0" w:line="233" w:lineRule="auto"/>
              <w:ind w:left="160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Evropská agentura pro léčivé přípravky (EMA), Evropská </w:t>
            </w:r>
            <w:r w:rsidRPr="008F36E2">
              <w:rPr>
                <w:rFonts w:ascii="Calibri" w:hAnsi="Calibri"/>
                <w:sz w:val="22"/>
                <w:szCs w:val="22"/>
              </w:rPr>
              <w:t xml:space="preserve">komise, </w:t>
            </w:r>
            <w:r w:rsidR="008F36E2">
              <w:rPr>
                <w:rFonts w:ascii="Calibri" w:hAnsi="Calibri"/>
                <w:sz w:val="22"/>
                <w:szCs w:val="22"/>
              </w:rPr>
              <w:t xml:space="preserve">jednotlivé </w:t>
            </w:r>
            <w:r w:rsidRPr="008F36E2">
              <w:rPr>
                <w:rFonts w:ascii="Calibri" w:hAnsi="Calibri"/>
                <w:sz w:val="22"/>
                <w:szCs w:val="22"/>
              </w:rPr>
              <w:t>farmaceutické společnosti</w:t>
            </w:r>
          </w:p>
        </w:tc>
      </w:tr>
      <w:tr w:rsidR="00F15C4B" w14:paraId="6B3ECEED" w14:textId="77777777" w:rsidTr="0090253F">
        <w:trPr>
          <w:trHeight w:hRule="exact" w:val="816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2677C9" w14:textId="77777777" w:rsidR="00F15C4B" w:rsidRDefault="00F15C4B" w:rsidP="00F15C4B">
            <w:pPr>
              <w:pStyle w:val="Other0"/>
              <w:spacing w:after="0" w:line="233" w:lineRule="auto"/>
              <w:rPr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Doporučení a prioritizace</w:t>
            </w:r>
          </w:p>
        </w:tc>
        <w:tc>
          <w:tcPr>
            <w:tcW w:w="58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3BCE0FBE" w14:textId="699AFA88" w:rsidR="00F15C4B" w:rsidRDefault="00777A2C" w:rsidP="00777A2C">
            <w:pPr>
              <w:pStyle w:val="Other0"/>
              <w:spacing w:after="0" w:line="233" w:lineRule="auto"/>
              <w:ind w:left="160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Národní imunizační komise (NIKO), Česká lékařská společnost (ČLS</w:t>
            </w:r>
            <w:r w:rsidR="00143EB2">
              <w:rPr>
                <w:rFonts w:ascii="Calibri" w:hAnsi="Calibri"/>
                <w:sz w:val="22"/>
                <w:szCs w:val="22"/>
              </w:rPr>
              <w:t xml:space="preserve"> JEP</w:t>
            </w:r>
            <w:r>
              <w:rPr>
                <w:rFonts w:ascii="Calibri" w:hAnsi="Calibri"/>
                <w:sz w:val="22"/>
                <w:szCs w:val="22"/>
              </w:rPr>
              <w:t xml:space="preserve">), </w:t>
            </w:r>
            <w:r w:rsidR="00143EB2">
              <w:rPr>
                <w:rFonts w:ascii="Calibri" w:hAnsi="Calibri"/>
                <w:sz w:val="22"/>
                <w:szCs w:val="22"/>
              </w:rPr>
              <w:t xml:space="preserve">Vědecká </w:t>
            </w:r>
            <w:r>
              <w:rPr>
                <w:rFonts w:ascii="Calibri" w:hAnsi="Calibri"/>
                <w:sz w:val="22"/>
                <w:szCs w:val="22"/>
              </w:rPr>
              <w:t>rada Ministerstva zdravotnictví</w:t>
            </w:r>
          </w:p>
        </w:tc>
      </w:tr>
      <w:tr w:rsidR="00F15C4B" w14:paraId="6149F2B9" w14:textId="77777777" w:rsidTr="0090253F">
        <w:trPr>
          <w:trHeight w:hRule="exact" w:val="811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955CC5" w14:textId="77777777" w:rsidR="00F15C4B" w:rsidRDefault="00F15C4B" w:rsidP="00F15C4B">
            <w:pPr>
              <w:pStyle w:val="Other0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Produkce a zajištění</w:t>
            </w:r>
          </w:p>
        </w:tc>
        <w:tc>
          <w:tcPr>
            <w:tcW w:w="58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7414E960" w14:textId="3027F452" w:rsidR="00F15C4B" w:rsidRDefault="00F15C4B" w:rsidP="00777A2C">
            <w:pPr>
              <w:pStyle w:val="Other0"/>
              <w:spacing w:after="0" w:line="233" w:lineRule="auto"/>
              <w:ind w:left="160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Evropská komise, členské státy EU, farmaceutické společnosti</w:t>
            </w:r>
          </w:p>
        </w:tc>
      </w:tr>
      <w:tr w:rsidR="00F15C4B" w14:paraId="5C028E22" w14:textId="77777777" w:rsidTr="0090253F">
        <w:trPr>
          <w:trHeight w:hRule="exact" w:val="811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F17DF1" w14:textId="77777777" w:rsidR="00F15C4B" w:rsidRDefault="00F15C4B" w:rsidP="00F15C4B">
            <w:pPr>
              <w:pStyle w:val="Other0"/>
              <w:spacing w:after="0" w:line="233" w:lineRule="auto"/>
              <w:rPr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Distribuce, skladování a logistika (řízení dodavatelského řetězce)</w:t>
            </w:r>
          </w:p>
        </w:tc>
        <w:tc>
          <w:tcPr>
            <w:tcW w:w="58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0779857C" w14:textId="452EFA46" w:rsidR="00F15C4B" w:rsidRDefault="008F36E2" w:rsidP="008F36E2">
            <w:pPr>
              <w:pStyle w:val="Other0"/>
              <w:spacing w:after="0" w:line="233" w:lineRule="auto"/>
              <w:ind w:left="160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Oprávnění d</w:t>
            </w:r>
            <w:r w:rsidR="00777A2C">
              <w:rPr>
                <w:rFonts w:ascii="Calibri" w:hAnsi="Calibri"/>
                <w:sz w:val="22"/>
                <w:szCs w:val="22"/>
              </w:rPr>
              <w:t xml:space="preserve">istributoři </w:t>
            </w:r>
            <w:r>
              <w:rPr>
                <w:rFonts w:ascii="Calibri" w:hAnsi="Calibri"/>
                <w:sz w:val="22"/>
                <w:szCs w:val="22"/>
              </w:rPr>
              <w:t>léčiv</w:t>
            </w:r>
          </w:p>
        </w:tc>
      </w:tr>
      <w:tr w:rsidR="00F15C4B" w14:paraId="064D4C67" w14:textId="77777777" w:rsidTr="0072338A">
        <w:trPr>
          <w:trHeight w:hRule="exact" w:val="1075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38F02" w14:textId="77777777" w:rsidR="00F15C4B" w:rsidRDefault="00F15C4B" w:rsidP="00F15C4B">
            <w:pPr>
              <w:pStyle w:val="Other0"/>
              <w:spacing w:after="0" w:line="233" w:lineRule="auto"/>
              <w:rPr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Organizace a provádění očkovací činnosti</w:t>
            </w:r>
          </w:p>
        </w:tc>
        <w:tc>
          <w:tcPr>
            <w:tcW w:w="58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2E6225B5" w14:textId="2A574B98" w:rsidR="00F15C4B" w:rsidRDefault="0090312E" w:rsidP="008F36E2">
            <w:pPr>
              <w:pStyle w:val="Other0"/>
              <w:spacing w:after="0" w:line="233" w:lineRule="auto"/>
              <w:ind w:left="160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Orgány ochrany veřejného zdraví</w:t>
            </w:r>
            <w:r w:rsidR="008F36E2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72338A">
              <w:rPr>
                <w:rFonts w:ascii="Calibri" w:hAnsi="Calibri"/>
                <w:sz w:val="22"/>
                <w:szCs w:val="22"/>
              </w:rPr>
              <w:t>poskytovatelé zdravotních služeb</w:t>
            </w:r>
            <w:r w:rsidR="00F15C4B">
              <w:rPr>
                <w:rFonts w:ascii="Calibri" w:hAnsi="Calibri"/>
                <w:sz w:val="22"/>
                <w:szCs w:val="22"/>
              </w:rPr>
              <w:t>,</w:t>
            </w:r>
            <w:r w:rsidR="008F1A80">
              <w:rPr>
                <w:rFonts w:ascii="Calibri" w:hAnsi="Calibri"/>
                <w:sz w:val="22"/>
                <w:szCs w:val="22"/>
              </w:rPr>
              <w:t xml:space="preserve"> Státní zdravotní ústav, zdravotní ústavy,</w:t>
            </w:r>
            <w:r w:rsidR="00F15C4B">
              <w:rPr>
                <w:rFonts w:ascii="Calibri" w:hAnsi="Calibri"/>
                <w:sz w:val="22"/>
                <w:szCs w:val="22"/>
              </w:rPr>
              <w:t xml:space="preserve"> zdravotnický personál</w:t>
            </w:r>
            <w:r w:rsidR="0072338A">
              <w:rPr>
                <w:rFonts w:ascii="Calibri" w:hAnsi="Calibri"/>
                <w:sz w:val="22"/>
                <w:szCs w:val="22"/>
              </w:rPr>
              <w:t>, Ministerstvo obrany, Ministerstvo vnitra</w:t>
            </w:r>
          </w:p>
        </w:tc>
      </w:tr>
      <w:tr w:rsidR="00F15C4B" w14:paraId="3B1CCEDB" w14:textId="77777777" w:rsidTr="0090253F">
        <w:trPr>
          <w:trHeight w:hRule="exact" w:val="547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78AF02" w14:textId="77777777" w:rsidR="00F15C4B" w:rsidRDefault="00F15C4B" w:rsidP="00F15C4B">
            <w:pPr>
              <w:pStyle w:val="Other0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Financování</w:t>
            </w:r>
          </w:p>
        </w:tc>
        <w:tc>
          <w:tcPr>
            <w:tcW w:w="58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56DEC447" w14:textId="217DB815" w:rsidR="00F15C4B" w:rsidRDefault="0090253F" w:rsidP="0090253F">
            <w:pPr>
              <w:pStyle w:val="Other0"/>
              <w:spacing w:after="0" w:line="233" w:lineRule="auto"/>
              <w:ind w:left="160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Vláda, zdravotní pojišťovny</w:t>
            </w:r>
          </w:p>
        </w:tc>
      </w:tr>
      <w:tr w:rsidR="00F15C4B" w14:paraId="6F4B72D7" w14:textId="77777777" w:rsidTr="008F1A80">
        <w:trPr>
          <w:trHeight w:hRule="exact" w:val="1139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387316" w14:textId="77777777" w:rsidR="00F15C4B" w:rsidRDefault="00F15C4B" w:rsidP="00F15C4B">
            <w:pPr>
              <w:pStyle w:val="Other0"/>
              <w:spacing w:after="0" w:line="233" w:lineRule="auto"/>
              <w:rPr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Komunikace, trénink specialistů a informování veřejnosti</w:t>
            </w:r>
          </w:p>
        </w:tc>
        <w:tc>
          <w:tcPr>
            <w:tcW w:w="58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1FA3F06E" w14:textId="317AB9E1" w:rsidR="00F15C4B" w:rsidRDefault="0090253F" w:rsidP="00BA7E1B">
            <w:pPr>
              <w:pStyle w:val="Other0"/>
              <w:spacing w:after="0" w:line="233" w:lineRule="auto"/>
              <w:ind w:left="160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Ministerstvo zdravotnictví, Česká lékařská společnost</w:t>
            </w:r>
            <w:r w:rsidR="009E0512">
              <w:rPr>
                <w:rFonts w:ascii="Calibri" w:hAnsi="Calibri"/>
                <w:sz w:val="22"/>
                <w:szCs w:val="22"/>
              </w:rPr>
              <w:t xml:space="preserve"> JEP</w:t>
            </w:r>
            <w:r>
              <w:rPr>
                <w:rFonts w:ascii="Calibri" w:hAnsi="Calibri"/>
                <w:sz w:val="22"/>
                <w:szCs w:val="22"/>
              </w:rPr>
              <w:t xml:space="preserve">, odborné </w:t>
            </w:r>
            <w:r w:rsidR="00BA7E1B">
              <w:rPr>
                <w:rFonts w:ascii="Calibri" w:hAnsi="Calibri"/>
                <w:sz w:val="22"/>
                <w:szCs w:val="22"/>
              </w:rPr>
              <w:t xml:space="preserve">lékařské </w:t>
            </w:r>
            <w:r>
              <w:rPr>
                <w:rFonts w:ascii="Calibri" w:hAnsi="Calibri"/>
                <w:sz w:val="22"/>
                <w:szCs w:val="22"/>
              </w:rPr>
              <w:t>spolky</w:t>
            </w:r>
            <w:r w:rsidR="00BA7E1B">
              <w:rPr>
                <w:rFonts w:ascii="Calibri" w:hAnsi="Calibri"/>
                <w:sz w:val="22"/>
                <w:szCs w:val="22"/>
              </w:rPr>
              <w:t>, Česká lékařská komora, Česká lékárnická komor</w:t>
            </w:r>
            <w:r w:rsidR="00F249CF">
              <w:rPr>
                <w:rFonts w:ascii="Calibri" w:hAnsi="Calibri"/>
                <w:sz w:val="22"/>
                <w:szCs w:val="22"/>
              </w:rPr>
              <w:t>, Státní zdravotní ústav</w:t>
            </w:r>
            <w:r w:rsidR="00F249CF" w:rsidDel="00F249C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249CF">
              <w:rPr>
                <w:rFonts w:ascii="Calibri" w:hAnsi="Calibri"/>
                <w:sz w:val="22"/>
                <w:szCs w:val="22"/>
              </w:rPr>
              <w:t>(SZU), Národní zdravotnický informační portál (NZIP)</w:t>
            </w:r>
            <w:r w:rsidR="00BA7E1B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F15C4B" w14:paraId="24BD9D2D" w14:textId="77777777" w:rsidTr="0090253F">
        <w:trPr>
          <w:trHeight w:hRule="exact" w:val="552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819BDD" w14:textId="77777777" w:rsidR="00F15C4B" w:rsidRDefault="00F15C4B" w:rsidP="00F15C4B">
            <w:pPr>
              <w:pStyle w:val="Other0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Sledování proočkovanosti</w:t>
            </w:r>
          </w:p>
        </w:tc>
        <w:tc>
          <w:tcPr>
            <w:tcW w:w="58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53454D91" w14:textId="661DCE9A" w:rsidR="00F15C4B" w:rsidRDefault="0090253F" w:rsidP="00F15C4B">
            <w:pPr>
              <w:pStyle w:val="Other0"/>
              <w:spacing w:after="0" w:line="240" w:lineRule="auto"/>
              <w:ind w:firstLine="160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Ministerstvo zdravotnictví, SÚKL</w:t>
            </w:r>
          </w:p>
        </w:tc>
      </w:tr>
      <w:tr w:rsidR="00F15C4B" w14:paraId="2989998F" w14:textId="77777777" w:rsidTr="0090253F">
        <w:trPr>
          <w:trHeight w:hRule="exact" w:val="547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439799" w14:textId="77777777" w:rsidR="00F15C4B" w:rsidRDefault="00F15C4B" w:rsidP="00F15C4B">
            <w:pPr>
              <w:pStyle w:val="Other0"/>
              <w:spacing w:after="0" w:line="233" w:lineRule="auto"/>
              <w:rPr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Dohled nad účinností vakcíny a bezpečností vakcíny</w:t>
            </w:r>
          </w:p>
        </w:tc>
        <w:tc>
          <w:tcPr>
            <w:tcW w:w="58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511B90AA" w14:textId="55CE9CB6" w:rsidR="00F15C4B" w:rsidRDefault="008D4253" w:rsidP="00F15C4B">
            <w:pPr>
              <w:pStyle w:val="Other0"/>
              <w:spacing w:after="0" w:line="240" w:lineRule="auto"/>
              <w:ind w:firstLine="160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SÚKL, EMA, </w:t>
            </w:r>
            <w:r w:rsidR="00F249CF">
              <w:rPr>
                <w:rFonts w:ascii="Calibri" w:hAnsi="Calibri"/>
                <w:sz w:val="22"/>
                <w:szCs w:val="22"/>
              </w:rPr>
              <w:t>držitelé rozhodnutí o registraci</w:t>
            </w:r>
          </w:p>
        </w:tc>
      </w:tr>
      <w:tr w:rsidR="00F15C4B" w14:paraId="76D5FA6A" w14:textId="77777777" w:rsidTr="0090253F">
        <w:trPr>
          <w:trHeight w:hRule="exact" w:val="811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D4C796" w14:textId="77777777" w:rsidR="00F15C4B" w:rsidRDefault="00F15C4B" w:rsidP="00F15C4B">
            <w:pPr>
              <w:pStyle w:val="Other0"/>
              <w:spacing w:after="0" w:line="233" w:lineRule="auto"/>
              <w:rPr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Mezinárodní koordinace a spolupráce</w:t>
            </w:r>
          </w:p>
        </w:tc>
        <w:tc>
          <w:tcPr>
            <w:tcW w:w="58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63F987A7" w14:textId="709B44F9" w:rsidR="00F15C4B" w:rsidRDefault="00BA7E1B" w:rsidP="00BA7E1B">
            <w:pPr>
              <w:pStyle w:val="Other0"/>
              <w:spacing w:after="0" w:line="240" w:lineRule="auto"/>
              <w:ind w:firstLine="160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Vláda</w:t>
            </w:r>
            <w:r w:rsidR="00F15C4B">
              <w:rPr>
                <w:rFonts w:ascii="Calibri" w:hAnsi="Calibri"/>
                <w:sz w:val="22"/>
                <w:szCs w:val="22"/>
              </w:rPr>
              <w:t>, EU, vědecká fóra</w:t>
            </w:r>
          </w:p>
        </w:tc>
      </w:tr>
      <w:tr w:rsidR="00F15C4B" w14:paraId="0CD39D5D" w14:textId="77777777" w:rsidTr="0090253F">
        <w:trPr>
          <w:trHeight w:hRule="exact" w:val="562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F4B22B" w14:textId="77777777" w:rsidR="00F15C4B" w:rsidRDefault="00F15C4B" w:rsidP="00F15C4B">
            <w:pPr>
              <w:pStyle w:val="Other0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Získané zkušenosti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3C044" w14:textId="247EFDA1" w:rsidR="00F15C4B" w:rsidRDefault="008D4253" w:rsidP="00F15C4B">
            <w:pPr>
              <w:pStyle w:val="Other0"/>
              <w:spacing w:after="0" w:line="240" w:lineRule="auto"/>
              <w:ind w:firstLine="160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</w:t>
            </w:r>
            <w:r w:rsidR="00F15C4B">
              <w:rPr>
                <w:rFonts w:ascii="Calibri" w:hAnsi="Calibri"/>
                <w:sz w:val="22"/>
                <w:szCs w:val="22"/>
              </w:rPr>
              <w:t>inisterstvo zdravotnictví</w:t>
            </w:r>
          </w:p>
        </w:tc>
      </w:tr>
    </w:tbl>
    <w:p w14:paraId="02CA7C05" w14:textId="6BEC1540" w:rsidR="00F15C4B" w:rsidRDefault="00F15C4B" w:rsidP="00C93F0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</w:p>
    <w:p w14:paraId="5AF8286B" w14:textId="2FD1B659" w:rsidR="00047FB5" w:rsidRDefault="00047FB5" w:rsidP="00C93F0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</w:p>
    <w:p w14:paraId="1B4D4854" w14:textId="77777777" w:rsidR="00047FB5" w:rsidRDefault="00047FB5" w:rsidP="00C93F0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</w:p>
    <w:p w14:paraId="6E39B48F" w14:textId="77777777" w:rsidR="007107EF" w:rsidRDefault="007107EF" w:rsidP="00C93F0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</w:p>
    <w:p w14:paraId="10AF0C15" w14:textId="7DE79E76" w:rsidR="00204A5C" w:rsidRPr="00204A5C" w:rsidRDefault="0066389F" w:rsidP="00204A5C">
      <w:pPr>
        <w:pStyle w:val="Nadpis1"/>
        <w:rPr>
          <w:rStyle w:val="eop"/>
          <w:rFonts w:ascii="Calibri" w:hAnsi="Calibri" w:cs="Calibri"/>
          <w:caps w:val="0"/>
        </w:rPr>
      </w:pPr>
      <w:bookmarkStart w:id="2" w:name="_Toc58138513"/>
      <w:r>
        <w:rPr>
          <w:rStyle w:val="normaltextrun"/>
          <w:rFonts w:ascii="Calibri" w:hAnsi="Calibri" w:cs="Calibri"/>
          <w:bCs/>
        </w:rPr>
        <w:lastRenderedPageBreak/>
        <w:t xml:space="preserve">1. </w:t>
      </w:r>
      <w:r w:rsidR="00204A5C" w:rsidRPr="00204A5C">
        <w:rPr>
          <w:rStyle w:val="normaltextrun"/>
          <w:rFonts w:ascii="Calibri" w:hAnsi="Calibri" w:cs="Calibri"/>
          <w:bCs/>
        </w:rPr>
        <w:t>ZÁKLADNÍ VÝCHODISKA</w:t>
      </w:r>
      <w:bookmarkEnd w:id="2"/>
      <w:r w:rsidR="00204A5C" w:rsidRPr="00204A5C">
        <w:rPr>
          <w:rStyle w:val="eop"/>
          <w:rFonts w:ascii="Calibri" w:hAnsi="Calibri" w:cs="Calibri"/>
        </w:rPr>
        <w:t> </w:t>
      </w:r>
    </w:p>
    <w:p w14:paraId="1AC1366B" w14:textId="1527AD49" w:rsidR="00204A5C" w:rsidRPr="00F545A1" w:rsidRDefault="00204A5C" w:rsidP="00C93F0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76AEE1CC" w14:textId="464CDB3F" w:rsidR="00C93F00" w:rsidRPr="00AF667A" w:rsidRDefault="00C93F00" w:rsidP="00C93F00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Segoe UI"/>
        </w:rPr>
      </w:pPr>
      <w:r w:rsidRPr="00AF667A">
        <w:rPr>
          <w:rStyle w:val="normaltextrun"/>
          <w:rFonts w:ascii="Calibri" w:hAnsi="Calibri" w:cs="Calibri"/>
        </w:rPr>
        <w:t xml:space="preserve">Onemocnění </w:t>
      </w:r>
      <w:r w:rsidR="00343E21" w:rsidRPr="00AF667A">
        <w:rPr>
          <w:rStyle w:val="normaltextrun"/>
          <w:rFonts w:ascii="Calibri" w:hAnsi="Calibri" w:cs="Calibri"/>
        </w:rPr>
        <w:t>COVID</w:t>
      </w:r>
      <w:r w:rsidRPr="00E62A3D">
        <w:rPr>
          <w:rStyle w:val="normaltextrun"/>
          <w:rFonts w:ascii="Calibri" w:hAnsi="Calibri" w:cs="Calibri"/>
        </w:rPr>
        <w:t>-19 je způsobeno novým typem viru SARS-CoV-2, který byl poprvé popsán v prosinci 2019 v čínském </w:t>
      </w:r>
      <w:r w:rsidRPr="00E62A3D">
        <w:rPr>
          <w:rStyle w:val="spellingerror"/>
          <w:rFonts w:ascii="Calibri" w:hAnsi="Calibri" w:cs="Calibri"/>
        </w:rPr>
        <w:t>Wuhan</w:t>
      </w:r>
      <w:r w:rsidRPr="00E62A3D">
        <w:rPr>
          <w:rStyle w:val="normaltextrun"/>
          <w:rFonts w:ascii="Calibri" w:hAnsi="Calibri" w:cs="Calibri"/>
        </w:rPr>
        <w:t>. Jedná se o vysoce infekční onemocnění, které se projevuje zejména horečkami, respiračními potížemi, bolestí svalů a únavou. Ačkoli je převážná část pozitivních osob bez příznaků či s minimálními potížemi, určité procento především osob z rizikových skupin může mít závažný, život ohrožující průběh. Dosud není k dispozici žádný účinný lék, proto se také výzkum zaměřuje na vývoj vakcíny</w:t>
      </w:r>
      <w:r w:rsidRPr="00E62A3D">
        <w:rPr>
          <w:rStyle w:val="normaltextrun"/>
          <w:rFonts w:ascii="Calibri" w:hAnsi="Calibri"/>
        </w:rPr>
        <w:t>, </w:t>
      </w:r>
      <w:r w:rsidRPr="00E62A3D">
        <w:rPr>
          <w:rStyle w:val="normaltextrun"/>
          <w:rFonts w:ascii="Calibri" w:hAnsi="Calibri" w:cs="Calibri"/>
        </w:rPr>
        <w:t xml:space="preserve">který byl prakticky zahájen okamžitě od začátku pandemie. Hlavním cílem vakcinace proti </w:t>
      </w:r>
      <w:r w:rsidR="00343E21" w:rsidRPr="00E62A3D">
        <w:rPr>
          <w:rStyle w:val="normaltextrun"/>
          <w:rFonts w:ascii="Calibri" w:hAnsi="Calibri" w:cs="Calibri"/>
        </w:rPr>
        <w:t>COVID</w:t>
      </w:r>
      <w:r w:rsidRPr="00E62A3D">
        <w:rPr>
          <w:rStyle w:val="normaltextrun"/>
          <w:rFonts w:ascii="Calibri" w:hAnsi="Calibri" w:cs="Calibri"/>
        </w:rPr>
        <w:t xml:space="preserve">-19 je prevence onemocnění touto infekcí, prevence reinfekce, dlouhodobý protektivní účinek a účinnost pro případné další vlny pandemie. </w:t>
      </w:r>
      <w:r w:rsidR="009C497A">
        <w:rPr>
          <w:rStyle w:val="normaltextrun"/>
          <w:rFonts w:ascii="Calibri" w:hAnsi="Calibri" w:cs="Calibri"/>
        </w:rPr>
        <w:t xml:space="preserve">Díky vzniklým </w:t>
      </w:r>
      <w:r w:rsidRPr="00E62A3D">
        <w:rPr>
          <w:rStyle w:val="normaltextrun"/>
          <w:rFonts w:ascii="Calibri" w:hAnsi="Calibri" w:cs="Calibri"/>
        </w:rPr>
        <w:t>technologi</w:t>
      </w:r>
      <w:r w:rsidR="009C497A">
        <w:rPr>
          <w:rStyle w:val="normaltextrun"/>
          <w:rFonts w:ascii="Calibri" w:hAnsi="Calibri" w:cs="Calibri"/>
        </w:rPr>
        <w:t>ím a neustále pokračujícímu vývoji</w:t>
      </w:r>
      <w:r w:rsidRPr="00E62A3D">
        <w:rPr>
          <w:rStyle w:val="normaltextrun"/>
          <w:rFonts w:ascii="Calibri" w:hAnsi="Calibri" w:cs="Calibri"/>
        </w:rPr>
        <w:t> </w:t>
      </w:r>
      <w:r w:rsidR="00343E21" w:rsidRPr="00E62A3D">
        <w:rPr>
          <w:rStyle w:val="normaltextrun"/>
          <w:rFonts w:ascii="Calibri" w:hAnsi="Calibri" w:cs="Calibri"/>
        </w:rPr>
        <w:t>COVID</w:t>
      </w:r>
      <w:r w:rsidRPr="00E62A3D">
        <w:rPr>
          <w:rStyle w:val="normaltextrun"/>
          <w:rFonts w:ascii="Calibri" w:hAnsi="Calibri" w:cs="Calibri"/>
        </w:rPr>
        <w:t>-19 vakcín</w:t>
      </w:r>
      <w:r w:rsidR="009C497A">
        <w:rPr>
          <w:rStyle w:val="normaltextrun"/>
          <w:rFonts w:ascii="Calibri" w:hAnsi="Calibri" w:cs="Calibri"/>
        </w:rPr>
        <w:t xml:space="preserve"> jsou připraveny stovky kandidátních vakcín</w:t>
      </w:r>
      <w:r w:rsidRPr="00E62A3D">
        <w:rPr>
          <w:rStyle w:val="normaltextrun"/>
          <w:rFonts w:ascii="Calibri" w:hAnsi="Calibri" w:cs="Calibri"/>
        </w:rPr>
        <w:t>. V současné době se nachází minimálně 202 kandidátních vakcín v různých fázích vývoje a z toho minimálně </w:t>
      </w:r>
      <w:r w:rsidR="00F249CF" w:rsidRPr="00E62A3D">
        <w:rPr>
          <w:rStyle w:val="normaltextrun"/>
          <w:rFonts w:ascii="Calibri" w:hAnsi="Calibri" w:cs="Calibri"/>
        </w:rPr>
        <w:t>4</w:t>
      </w:r>
      <w:r w:rsidR="00F249CF">
        <w:rPr>
          <w:rStyle w:val="normaltextrun"/>
          <w:rFonts w:ascii="Calibri" w:hAnsi="Calibri" w:cs="Calibri"/>
        </w:rPr>
        <w:t>9</w:t>
      </w:r>
      <w:r w:rsidR="00F249CF" w:rsidRPr="00E62A3D">
        <w:rPr>
          <w:rStyle w:val="normaltextrun"/>
          <w:rFonts w:ascii="Calibri" w:hAnsi="Calibri" w:cs="Calibri"/>
        </w:rPr>
        <w:t xml:space="preserve"> </w:t>
      </w:r>
      <w:r w:rsidRPr="00E62A3D">
        <w:rPr>
          <w:rStyle w:val="normaltextrun"/>
          <w:rFonts w:ascii="Calibri" w:hAnsi="Calibri" w:cs="Calibri"/>
        </w:rPr>
        <w:t xml:space="preserve">vakcín v klinickém hodnocení </w:t>
      </w:r>
      <w:r w:rsidR="00F249CF">
        <w:rPr>
          <w:rStyle w:val="normaltextrun"/>
          <w:rFonts w:ascii="Calibri" w:hAnsi="Calibri" w:cs="Calibri"/>
        </w:rPr>
        <w:t xml:space="preserve">a 164 v preklinickém hodnocení </w:t>
      </w:r>
      <w:r w:rsidRPr="00E62A3D">
        <w:rPr>
          <w:rStyle w:val="normaltextrun"/>
          <w:rFonts w:ascii="Calibri" w:hAnsi="Calibri" w:cs="Calibri"/>
        </w:rPr>
        <w:t>(údaj</w:t>
      </w:r>
      <w:r w:rsidR="00F249CF">
        <w:rPr>
          <w:rStyle w:val="normaltextrun"/>
          <w:rFonts w:ascii="Calibri" w:hAnsi="Calibri" w:cs="Calibri"/>
        </w:rPr>
        <w:t xml:space="preserve"> WHO</w:t>
      </w:r>
      <w:r w:rsidRPr="00E62A3D">
        <w:rPr>
          <w:rStyle w:val="normaltextrun"/>
          <w:rFonts w:ascii="Calibri" w:hAnsi="Calibri" w:cs="Calibri"/>
        </w:rPr>
        <w:t xml:space="preserve"> k 3</w:t>
      </w:r>
      <w:r w:rsidR="00F249CF">
        <w:rPr>
          <w:rStyle w:val="normaltextrun"/>
          <w:rFonts w:ascii="Calibri" w:hAnsi="Calibri" w:cs="Calibri"/>
        </w:rPr>
        <w:t>0</w:t>
      </w:r>
      <w:r w:rsidRPr="00E62A3D">
        <w:rPr>
          <w:rStyle w:val="normaltextrun"/>
          <w:rFonts w:ascii="Calibri" w:hAnsi="Calibri" w:cs="Calibri"/>
        </w:rPr>
        <w:t>. 11. 2020). Za nej</w:t>
      </w:r>
      <w:r w:rsidR="009C497A">
        <w:rPr>
          <w:rStyle w:val="normaltextrun"/>
          <w:rFonts w:ascii="Calibri" w:hAnsi="Calibri" w:cs="Calibri"/>
        </w:rPr>
        <w:t>důležitější</w:t>
      </w:r>
      <w:r w:rsidRPr="00E62A3D">
        <w:rPr>
          <w:rStyle w:val="normaltextrun"/>
          <w:rFonts w:ascii="Calibri" w:hAnsi="Calibri" w:cs="Calibri"/>
        </w:rPr>
        <w:t> </w:t>
      </w:r>
      <w:r w:rsidRPr="00E62A3D">
        <w:rPr>
          <w:rStyle w:val="spellingerror"/>
          <w:rFonts w:ascii="Calibri" w:hAnsi="Calibri" w:cs="Calibri"/>
        </w:rPr>
        <w:t>vakcinální</w:t>
      </w:r>
      <w:r w:rsidRPr="00E62A3D">
        <w:rPr>
          <w:rStyle w:val="normaltextrun"/>
          <w:rFonts w:ascii="Calibri" w:hAnsi="Calibri" w:cs="Calibri"/>
        </w:rPr>
        <w:t> antigen</w:t>
      </w:r>
      <w:r w:rsidR="009C497A">
        <w:rPr>
          <w:rStyle w:val="normaltextrun"/>
          <w:rFonts w:ascii="Calibri" w:hAnsi="Calibri" w:cs="Calibri"/>
        </w:rPr>
        <w:t xml:space="preserve">, nezbytný ke stimulaci lidské imunitní odpovědi </w:t>
      </w:r>
      <w:r w:rsidRPr="00E62A3D">
        <w:rPr>
          <w:rStyle w:val="normaltextrun"/>
          <w:rFonts w:ascii="Calibri" w:hAnsi="Calibri" w:cs="Calibri"/>
        </w:rPr>
        <w:t xml:space="preserve"> je považován povrchový S glykoprotein SARS-CoV-2 viru. Dalšími možnostmi je využití celého virionu nebo S1 </w:t>
      </w:r>
      <w:r w:rsidRPr="00E62A3D">
        <w:rPr>
          <w:rStyle w:val="spellingerror"/>
          <w:rFonts w:ascii="Calibri" w:hAnsi="Calibri" w:cs="Calibri"/>
        </w:rPr>
        <w:t>subjednotkového</w:t>
      </w:r>
      <w:r w:rsidRPr="00E62A3D">
        <w:rPr>
          <w:rStyle w:val="normaltextrun"/>
          <w:rFonts w:ascii="Calibri" w:hAnsi="Calibri" w:cs="Calibri"/>
        </w:rPr>
        <w:t> nosiče. V současnosti se vyvíjí čtyři typy možných vakcín. </w:t>
      </w:r>
      <w:r w:rsidRPr="00E62A3D">
        <w:rPr>
          <w:rStyle w:val="spellingerror"/>
          <w:rFonts w:ascii="Calibri" w:hAnsi="Calibri" w:cs="Calibri"/>
        </w:rPr>
        <w:t>Celovirionové</w:t>
      </w:r>
      <w:r w:rsidRPr="00E62A3D">
        <w:rPr>
          <w:rStyle w:val="normaltextrun"/>
          <w:rFonts w:ascii="Calibri" w:hAnsi="Calibri" w:cs="Calibri"/>
        </w:rPr>
        <w:t> vakcíny (</w:t>
      </w:r>
      <w:r w:rsidRPr="00E62A3D">
        <w:rPr>
          <w:rStyle w:val="spellingerror"/>
          <w:rFonts w:ascii="Calibri" w:hAnsi="Calibri" w:cs="Calibri"/>
        </w:rPr>
        <w:t>atenuovaná</w:t>
      </w:r>
      <w:r w:rsidRPr="00E62A3D">
        <w:rPr>
          <w:rStyle w:val="normaltextrun"/>
          <w:rFonts w:ascii="Calibri" w:hAnsi="Calibri" w:cs="Calibri"/>
        </w:rPr>
        <w:t> nebo usmrcená vakcína), vektorové vakcíny (využívající nejčastěji replikující nebo nereplikující virový vektor), proteinové vakcíny (</w:t>
      </w:r>
      <w:r w:rsidRPr="00E62A3D">
        <w:rPr>
          <w:rStyle w:val="spellingerror"/>
          <w:rFonts w:ascii="Calibri" w:hAnsi="Calibri" w:cs="Calibri"/>
        </w:rPr>
        <w:t>subjednotková</w:t>
      </w:r>
      <w:r w:rsidRPr="00E62A3D">
        <w:rPr>
          <w:rStyle w:val="normaltextrun"/>
          <w:rFonts w:ascii="Calibri" w:hAnsi="Calibri"/>
        </w:rPr>
        <w:t>, </w:t>
      </w:r>
      <w:r w:rsidRPr="00E62A3D">
        <w:rPr>
          <w:rStyle w:val="spellingerror"/>
          <w:rFonts w:ascii="Calibri" w:hAnsi="Calibri" w:cs="Calibri"/>
        </w:rPr>
        <w:t>adjuvovaná</w:t>
      </w:r>
      <w:r w:rsidRPr="00E62A3D">
        <w:rPr>
          <w:rStyle w:val="normaltextrun"/>
          <w:rFonts w:ascii="Calibri" w:hAnsi="Calibri" w:cs="Calibri"/>
        </w:rPr>
        <w:t xml:space="preserve"> vakcína nebo vakcína na bázi viru podobných částic) a DNA, RNA vakcíny. Klíčovým okamžikem </w:t>
      </w:r>
      <w:r w:rsidR="009C497A">
        <w:rPr>
          <w:rStyle w:val="normaltextrun"/>
          <w:rFonts w:ascii="Calibri" w:hAnsi="Calibri" w:cs="Calibri"/>
        </w:rPr>
        <w:t xml:space="preserve">je kromě bezpečnosti, </w:t>
      </w:r>
      <w:r w:rsidRPr="00E62A3D">
        <w:rPr>
          <w:rStyle w:val="normaltextrun"/>
          <w:rFonts w:ascii="Calibri" w:hAnsi="Calibri" w:cs="Calibri"/>
        </w:rPr>
        <w:t>prokázání účinnosti nové vakcíny ve fázi 3 klinického hodnocení. Přes tlak a snahy o rychlý vývoj</w:t>
      </w:r>
      <w:r w:rsidRPr="00AF667A">
        <w:rPr>
          <w:rStyle w:val="normaltextrun"/>
          <w:rFonts w:ascii="Calibri" w:hAnsi="Calibri" w:cs="Calibri"/>
        </w:rPr>
        <w:t xml:space="preserve"> vakcíny je realistické počítat s případnou registrovanou vakcínou </w:t>
      </w:r>
      <w:r w:rsidR="007E3F2E">
        <w:rPr>
          <w:rStyle w:val="normaltextrun"/>
          <w:rFonts w:ascii="Calibri" w:hAnsi="Calibri" w:cs="Calibri"/>
        </w:rPr>
        <w:t xml:space="preserve">v Evropě </w:t>
      </w:r>
      <w:r w:rsidRPr="00AF667A">
        <w:rPr>
          <w:rStyle w:val="normaltextrun"/>
          <w:rFonts w:ascii="Calibri" w:hAnsi="Calibri" w:cs="Calibri"/>
        </w:rPr>
        <w:t>nejdříve ke konci roku 2020 a dostupností v roce 2021. Klíčovým momentem pak je</w:t>
      </w:r>
      <w:r w:rsidRPr="00AF667A">
        <w:rPr>
          <w:rStyle w:val="normaltextrun"/>
          <w:rFonts w:ascii="Calibri" w:hAnsi="Calibri"/>
        </w:rPr>
        <w:t>,</w:t>
      </w:r>
      <w:r w:rsidRPr="00AF667A">
        <w:rPr>
          <w:rStyle w:val="normaltextrun"/>
          <w:rFonts w:ascii="Calibri" w:hAnsi="Calibri" w:cs="Calibri"/>
        </w:rPr>
        <w:t> za jak dlouho bude vakcína dostupná k použití v ČR.</w:t>
      </w:r>
      <w:r w:rsidRPr="00AF667A">
        <w:rPr>
          <w:rStyle w:val="eop"/>
          <w:rFonts w:ascii="Calibri" w:hAnsi="Calibri" w:cs="Calibri"/>
        </w:rPr>
        <w:t> </w:t>
      </w:r>
    </w:p>
    <w:p w14:paraId="2E194858" w14:textId="1EFB495D" w:rsidR="00C93F00" w:rsidRPr="00AF667A" w:rsidRDefault="00C93F00" w:rsidP="00C93F00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Segoe UI"/>
        </w:rPr>
      </w:pPr>
      <w:r w:rsidRPr="00AF667A">
        <w:rPr>
          <w:rStyle w:val="normaltextrun"/>
          <w:rFonts w:ascii="Calibri" w:hAnsi="Calibri" w:cs="Calibri"/>
        </w:rPr>
        <w:t>Jako nejvíce nadějné se zatím jeví vakcíny druhé generace (proteinové, rekombinantní, vektorové)</w:t>
      </w:r>
      <w:r w:rsidRPr="00AF667A">
        <w:rPr>
          <w:rStyle w:val="normaltextrun"/>
          <w:rFonts w:ascii="Calibri" w:hAnsi="Calibri"/>
        </w:rPr>
        <w:t> </w:t>
      </w:r>
      <w:r w:rsidRPr="00AF667A">
        <w:rPr>
          <w:rStyle w:val="normaltextrun"/>
          <w:rFonts w:ascii="Calibri" w:hAnsi="Calibri" w:cs="Calibri"/>
        </w:rPr>
        <w:t>a třetí generace (genetické vakcíny).</w:t>
      </w:r>
      <w:r w:rsidRPr="00AF667A">
        <w:rPr>
          <w:rStyle w:val="normaltextrun"/>
          <w:rFonts w:ascii="Calibri" w:hAnsi="Calibri"/>
        </w:rPr>
        <w:t> </w:t>
      </w:r>
      <w:r w:rsidR="00A21E3F">
        <w:rPr>
          <w:rStyle w:val="normaltextrun"/>
          <w:rFonts w:ascii="Calibri" w:hAnsi="Calibri"/>
        </w:rPr>
        <w:t>Průběžné hodnocení EMA s výsledky fáze 3 klinického hodnocení probíhá u 4 výrobců očkovacích látek,</w:t>
      </w:r>
      <w:r w:rsidRPr="00AF667A">
        <w:rPr>
          <w:rStyle w:val="normaltextrun"/>
          <w:rFonts w:ascii="Calibri" w:hAnsi="Calibri" w:cs="Calibri"/>
        </w:rPr>
        <w:t xml:space="preserve"> fir</w:t>
      </w:r>
      <w:r w:rsidR="00A21E3F">
        <w:rPr>
          <w:rStyle w:val="normaltextrun"/>
          <w:rFonts w:ascii="Calibri" w:hAnsi="Calibri" w:cs="Calibri"/>
        </w:rPr>
        <w:t>my</w:t>
      </w:r>
      <w:r w:rsidRPr="00AF667A">
        <w:rPr>
          <w:rStyle w:val="normaltextrun"/>
          <w:rFonts w:ascii="Calibri" w:hAnsi="Calibri" w:cs="Calibri"/>
        </w:rPr>
        <w:t> </w:t>
      </w:r>
      <w:r w:rsidR="00A21E3F" w:rsidRPr="00AF667A">
        <w:rPr>
          <w:rStyle w:val="spellingerror"/>
          <w:rFonts w:ascii="Calibri" w:hAnsi="Calibri" w:cs="Calibri"/>
        </w:rPr>
        <w:t>Pfizer</w:t>
      </w:r>
      <w:r w:rsidR="00A21E3F">
        <w:rPr>
          <w:rStyle w:val="spellingerror"/>
          <w:rFonts w:ascii="Calibri" w:hAnsi="Calibri" w:cs="Calibri"/>
        </w:rPr>
        <w:t>/</w:t>
      </w:r>
      <w:r w:rsidRPr="00AF667A">
        <w:rPr>
          <w:rStyle w:val="spellingerror"/>
          <w:rFonts w:ascii="Calibri" w:hAnsi="Calibri" w:cs="Calibri"/>
        </w:rPr>
        <w:t>BioNTech</w:t>
      </w:r>
      <w:r w:rsidRPr="00AF667A">
        <w:rPr>
          <w:rStyle w:val="normaltextrun"/>
          <w:rFonts w:ascii="Calibri" w:hAnsi="Calibri" w:cs="Calibri"/>
        </w:rPr>
        <w:t xml:space="preserve"> (genová </w:t>
      </w:r>
      <w:r w:rsidRPr="00AF667A">
        <w:rPr>
          <w:rStyle w:val="spellingerror"/>
          <w:rFonts w:ascii="Calibri" w:hAnsi="Calibri" w:cs="Calibri"/>
        </w:rPr>
        <w:t>mRNA</w:t>
      </w:r>
      <w:r w:rsidRPr="00AF667A">
        <w:rPr>
          <w:rStyle w:val="normaltextrun"/>
          <w:rFonts w:ascii="Calibri" w:hAnsi="Calibri" w:cs="Calibri"/>
        </w:rPr>
        <w:t xml:space="preserve"> vakcína), firmy Moderna (genová </w:t>
      </w:r>
      <w:r w:rsidRPr="00AF667A">
        <w:rPr>
          <w:rStyle w:val="spellingerror"/>
          <w:rFonts w:ascii="Calibri" w:hAnsi="Calibri" w:cs="Calibri"/>
        </w:rPr>
        <w:t>mRNA</w:t>
      </w:r>
      <w:r w:rsidRPr="00AF667A">
        <w:rPr>
          <w:rStyle w:val="normaltextrun"/>
          <w:rFonts w:ascii="Calibri" w:hAnsi="Calibri" w:cs="Calibri"/>
        </w:rPr>
        <w:t xml:space="preserve"> vakcína), firmy Astra </w:t>
      </w:r>
      <w:r w:rsidRPr="00AF667A">
        <w:rPr>
          <w:rStyle w:val="spellingerror"/>
          <w:rFonts w:ascii="Calibri" w:hAnsi="Calibri" w:cs="Calibri"/>
        </w:rPr>
        <w:t>Zeneca</w:t>
      </w:r>
      <w:r w:rsidR="00A21E3F">
        <w:rPr>
          <w:rStyle w:val="spellingerror"/>
          <w:rFonts w:ascii="Calibri" w:hAnsi="Calibri" w:cs="Calibri"/>
        </w:rPr>
        <w:t>/</w:t>
      </w:r>
      <w:r w:rsidRPr="00AF667A">
        <w:rPr>
          <w:rStyle w:val="normaltextrun"/>
          <w:rFonts w:ascii="Calibri" w:hAnsi="Calibri" w:cs="Calibri"/>
        </w:rPr>
        <w:t xml:space="preserve">University </w:t>
      </w:r>
      <w:r w:rsidRPr="00AF667A">
        <w:rPr>
          <w:rStyle w:val="spellingerror"/>
          <w:rFonts w:ascii="Calibri" w:hAnsi="Calibri" w:cs="Calibri"/>
        </w:rPr>
        <w:t>of</w:t>
      </w:r>
      <w:r w:rsidRPr="00AF667A">
        <w:rPr>
          <w:rStyle w:val="normaltextrun"/>
          <w:rFonts w:ascii="Calibri" w:hAnsi="Calibri" w:cs="Calibri"/>
        </w:rPr>
        <w:t xml:space="preserve"> Oxford</w:t>
      </w:r>
      <w:r w:rsidRPr="00AF667A">
        <w:rPr>
          <w:rStyle w:val="normaltextrun"/>
          <w:rFonts w:ascii="Calibri" w:hAnsi="Calibri"/>
        </w:rPr>
        <w:t xml:space="preserve"> </w:t>
      </w:r>
      <w:r w:rsidRPr="00AF667A">
        <w:rPr>
          <w:rStyle w:val="normaltextrun"/>
          <w:rFonts w:ascii="Calibri" w:hAnsi="Calibri" w:cs="Calibri"/>
        </w:rPr>
        <w:t>(vektorová vakcína</w:t>
      </w:r>
      <w:r w:rsidRPr="00AF667A">
        <w:rPr>
          <w:rStyle w:val="normaltextrun"/>
          <w:rFonts w:ascii="Calibri" w:hAnsi="Calibri"/>
        </w:rPr>
        <w:t>)</w:t>
      </w:r>
      <w:r w:rsidRPr="00AF667A">
        <w:rPr>
          <w:rStyle w:val="normaltextrun"/>
          <w:rFonts w:ascii="Calibri" w:hAnsi="Calibri" w:cs="Calibri"/>
        </w:rPr>
        <w:t xml:space="preserve"> a </w:t>
      </w:r>
      <w:r w:rsidR="00A21E3F">
        <w:rPr>
          <w:rStyle w:val="normaltextrun"/>
          <w:rFonts w:ascii="Calibri" w:hAnsi="Calibri" w:cs="Calibri"/>
        </w:rPr>
        <w:t>firmy Johnson</w:t>
      </w:r>
      <w:r w:rsidR="00A21E3F" w:rsidRPr="00837C75">
        <w:rPr>
          <w:rStyle w:val="normaltextrun"/>
          <w:rFonts w:ascii="Calibri" w:hAnsi="Calibri" w:cs="Calibri"/>
        </w:rPr>
        <w:t>&amp;</w:t>
      </w:r>
      <w:r w:rsidR="00A21E3F">
        <w:rPr>
          <w:rStyle w:val="normaltextrun"/>
          <w:rFonts w:ascii="Calibri" w:hAnsi="Calibri" w:cs="Calibri"/>
        </w:rPr>
        <w:t>Johnson (vektorová</w:t>
      </w:r>
      <w:r w:rsidRPr="00AF667A">
        <w:rPr>
          <w:rStyle w:val="normaltextrun"/>
          <w:rFonts w:ascii="Calibri" w:hAnsi="Calibri" w:cs="Calibri"/>
        </w:rPr>
        <w:t xml:space="preserve"> vakcína).</w:t>
      </w:r>
      <w:r w:rsidRPr="00AF667A">
        <w:rPr>
          <w:rStyle w:val="eop"/>
          <w:rFonts w:ascii="Calibri" w:hAnsi="Calibri" w:cs="Calibri"/>
        </w:rPr>
        <w:t> </w:t>
      </w:r>
    </w:p>
    <w:p w14:paraId="1AF92DEA" w14:textId="77777777" w:rsidR="00C93F00" w:rsidRPr="00AF667A" w:rsidRDefault="00C93F00" w:rsidP="00C93F0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/>
        </w:rPr>
      </w:pPr>
      <w:r w:rsidRPr="00AF667A">
        <w:rPr>
          <w:rStyle w:val="normaltextrun"/>
          <w:rFonts w:ascii="Calibri" w:hAnsi="Calibri" w:cs="Calibri"/>
        </w:rPr>
        <w:t>Bohužel nelze očekávat, že vakcína bude v počátku registrovaná pro použití u dětí. Většina výzkumných týmů a firem provádí klinické hodnocení pouze u dospělých, ve věku od 17-85 let.</w:t>
      </w:r>
      <w:r w:rsidRPr="00AF667A">
        <w:rPr>
          <w:rStyle w:val="eop"/>
          <w:rFonts w:ascii="Calibri" w:hAnsi="Calibri"/>
        </w:rPr>
        <w:t> </w:t>
      </w:r>
    </w:p>
    <w:p w14:paraId="64632A98" w14:textId="0CBA7239" w:rsidR="00C93F00" w:rsidRDefault="00C93F00" w:rsidP="00C93F00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Segoe UI"/>
        </w:rPr>
      </w:pPr>
    </w:p>
    <w:p w14:paraId="67BCB36B" w14:textId="05293A35" w:rsidR="00F468E9" w:rsidRPr="00254CE0" w:rsidRDefault="00254CE0" w:rsidP="00254CE0">
      <w:pPr>
        <w:pStyle w:val="Nadpis1"/>
      </w:pPr>
      <w:bookmarkStart w:id="3" w:name="_Toc58138514"/>
      <w:r w:rsidRPr="00254CE0">
        <w:rPr>
          <w:caps w:val="0"/>
        </w:rPr>
        <w:t>2.</w:t>
      </w:r>
      <w:r w:rsidR="005D597E">
        <w:rPr>
          <w:caps w:val="0"/>
        </w:rPr>
        <w:t xml:space="preserve"> </w:t>
      </w:r>
      <w:r w:rsidRPr="00254CE0">
        <w:rPr>
          <w:caps w:val="0"/>
        </w:rPr>
        <w:t>PŘEHLED VAKCÍN PROTI ONEMOCNĚNÍ COVID-19 A VÝVOJ</w:t>
      </w:r>
      <w:bookmarkEnd w:id="3"/>
    </w:p>
    <w:p w14:paraId="1172032F" w14:textId="387571E6" w:rsidR="00F468E9" w:rsidRPr="00F545A1" w:rsidRDefault="00F468E9" w:rsidP="00C93F0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cs="Calibri"/>
        </w:rPr>
      </w:pPr>
    </w:p>
    <w:p w14:paraId="0C9F59E7" w14:textId="47C1F98A" w:rsidR="00C518D7" w:rsidRDefault="00C518D7" w:rsidP="00C93F00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Segoe UI"/>
        </w:rPr>
      </w:pPr>
      <w:r>
        <w:rPr>
          <w:rFonts w:ascii="Calibri" w:hAnsi="Calibri" w:cs="Segoe UI"/>
        </w:rPr>
        <w:t xml:space="preserve">Vývoj očkovací látky prochází </w:t>
      </w:r>
      <w:r w:rsidR="00086346">
        <w:rPr>
          <w:rFonts w:ascii="Calibri" w:hAnsi="Calibri" w:cs="Segoe UI"/>
        </w:rPr>
        <w:t xml:space="preserve">základní </w:t>
      </w:r>
      <w:r>
        <w:rPr>
          <w:rFonts w:ascii="Calibri" w:hAnsi="Calibri" w:cs="Segoe UI"/>
        </w:rPr>
        <w:t>výzkumnou fází</w:t>
      </w:r>
      <w:r w:rsidR="00086346">
        <w:rPr>
          <w:rFonts w:ascii="Calibri" w:hAnsi="Calibri" w:cs="Segoe UI"/>
        </w:rPr>
        <w:t>, kdy se identifikují významné antigenní složky očkovací látky, které jsou schopny stimulovat imunitní systém k adekvátní imunitní odpovědi, v podobě protilátkové a buněčné odpovědi.</w:t>
      </w:r>
      <w:r w:rsidR="00FE3A77">
        <w:rPr>
          <w:rFonts w:ascii="Calibri" w:hAnsi="Calibri" w:cs="Segoe UI"/>
        </w:rPr>
        <w:t xml:space="preserve"> Vlastní vývoj prochází nejprve laboratorní, pre-klinickou fází vývoje, kdy jsou prováděny hodnocení na laboratorních zvířatech. Hlavní</w:t>
      </w:r>
      <w:r w:rsidR="004E20A6">
        <w:rPr>
          <w:rFonts w:ascii="Calibri" w:hAnsi="Calibri" w:cs="Segoe UI"/>
        </w:rPr>
        <w:t>m</w:t>
      </w:r>
      <w:r w:rsidR="00FE3A77">
        <w:rPr>
          <w:rFonts w:ascii="Calibri" w:hAnsi="Calibri" w:cs="Segoe UI"/>
        </w:rPr>
        <w:t xml:space="preserve"> hodnoceným kritériem této fáze je toxicita, tolerabilita</w:t>
      </w:r>
      <w:r w:rsidR="000263CF">
        <w:rPr>
          <w:rFonts w:ascii="Calibri" w:hAnsi="Calibri" w:cs="Segoe UI"/>
        </w:rPr>
        <w:t xml:space="preserve">, farmakologické </w:t>
      </w:r>
      <w:r w:rsidR="000263CF">
        <w:rPr>
          <w:rFonts w:ascii="Calibri" w:hAnsi="Calibri" w:cs="Segoe UI"/>
        </w:rPr>
        <w:lastRenderedPageBreak/>
        <w:t>vlastnosti látky</w:t>
      </w:r>
      <w:r w:rsidR="00FE3A77">
        <w:rPr>
          <w:rFonts w:ascii="Calibri" w:hAnsi="Calibri" w:cs="Segoe UI"/>
        </w:rPr>
        <w:t xml:space="preserve"> a imunostimulační účinek očkovací látky.  </w:t>
      </w:r>
      <w:r w:rsidR="000263CF">
        <w:rPr>
          <w:rFonts w:ascii="Calibri" w:hAnsi="Calibri" w:cs="Segoe UI"/>
        </w:rPr>
        <w:t xml:space="preserve">Pokud látka splní všechna náročná kritéria, přikročí se k hodnocení na lidech. </w:t>
      </w:r>
      <w:r w:rsidR="00FE3A77">
        <w:rPr>
          <w:rFonts w:ascii="Calibri" w:hAnsi="Calibri" w:cs="Segoe UI"/>
        </w:rPr>
        <w:t>Vlastní klinický výzkum probíhá ve třech fázích klinického ho</w:t>
      </w:r>
      <w:r w:rsidR="000263CF">
        <w:rPr>
          <w:rFonts w:ascii="Calibri" w:hAnsi="Calibri" w:cs="Segoe UI"/>
        </w:rPr>
        <w:t>d</w:t>
      </w:r>
      <w:r w:rsidR="00FE3A77">
        <w:rPr>
          <w:rFonts w:ascii="Calibri" w:hAnsi="Calibri" w:cs="Segoe UI"/>
        </w:rPr>
        <w:t>n</w:t>
      </w:r>
      <w:r w:rsidR="000263CF">
        <w:rPr>
          <w:rFonts w:ascii="Calibri" w:hAnsi="Calibri" w:cs="Segoe UI"/>
        </w:rPr>
        <w:t>o</w:t>
      </w:r>
      <w:r w:rsidR="00FE3A77">
        <w:rPr>
          <w:rFonts w:ascii="Calibri" w:hAnsi="Calibri" w:cs="Segoe UI"/>
        </w:rPr>
        <w:t>cení</w:t>
      </w:r>
      <w:r w:rsidR="000844F7">
        <w:rPr>
          <w:rFonts w:ascii="Calibri" w:hAnsi="Calibri" w:cs="Segoe UI"/>
        </w:rPr>
        <w:t xml:space="preserve"> (obrázek 1)</w:t>
      </w:r>
      <w:r w:rsidR="00FE3A77">
        <w:rPr>
          <w:rFonts w:ascii="Calibri" w:hAnsi="Calibri" w:cs="Segoe UI"/>
        </w:rPr>
        <w:t>. Během první klinické fáze</w:t>
      </w:r>
      <w:r w:rsidR="000F5FBE">
        <w:rPr>
          <w:rFonts w:ascii="Calibri" w:hAnsi="Calibri" w:cs="Segoe UI"/>
        </w:rPr>
        <w:t>,</w:t>
      </w:r>
      <w:r w:rsidR="00FE3A77">
        <w:rPr>
          <w:rFonts w:ascii="Calibri" w:hAnsi="Calibri" w:cs="Segoe UI"/>
        </w:rPr>
        <w:t xml:space="preserve"> se hodnotí bezpečnost a imunogenita</w:t>
      </w:r>
      <w:r w:rsidR="000263CF">
        <w:rPr>
          <w:rFonts w:ascii="Calibri" w:hAnsi="Calibri" w:cs="Segoe UI"/>
        </w:rPr>
        <w:t xml:space="preserve"> (schopnost stimulovat imunitní systém)</w:t>
      </w:r>
      <w:r w:rsidR="00FE3A77">
        <w:rPr>
          <w:rFonts w:ascii="Calibri" w:hAnsi="Calibri" w:cs="Segoe UI"/>
        </w:rPr>
        <w:t xml:space="preserve"> očkovací látky. Hodnocení zpravidla probíhá na desítkách lidských dobrovolníků. Během druhé klinické fáze se hodnotí </w:t>
      </w:r>
      <w:r w:rsidR="000263CF">
        <w:rPr>
          <w:rFonts w:ascii="Calibri" w:hAnsi="Calibri" w:cs="Segoe UI"/>
        </w:rPr>
        <w:t xml:space="preserve">zejména </w:t>
      </w:r>
      <w:r w:rsidR="00FE3A77">
        <w:rPr>
          <w:rFonts w:ascii="Calibri" w:hAnsi="Calibri" w:cs="Segoe UI"/>
        </w:rPr>
        <w:t>bezpečnost, imunogenita</w:t>
      </w:r>
      <w:r w:rsidR="000263CF">
        <w:rPr>
          <w:rFonts w:ascii="Calibri" w:hAnsi="Calibri" w:cs="Segoe UI"/>
        </w:rPr>
        <w:t>, optimální dávkování, různá očkovací schémata. Tato druhá fáze probíhá na stovkách dobrovolníků. Poslední, třetí fáze klinického hodnocení testuje kromě imunogenity a bezpečnosti, zejména účinnost očkování. Třetí fáze se účastnící tisíce až desetitisíce dobrovolníků.</w:t>
      </w:r>
      <w:r w:rsidR="00FE36E7">
        <w:rPr>
          <w:rFonts w:ascii="Calibri" w:hAnsi="Calibri" w:cs="Segoe UI"/>
        </w:rPr>
        <w:t xml:space="preserve"> Jsou-li všechny fáze hodnocení úspěšné, může výrobce předložit žádost o registraci.</w:t>
      </w:r>
    </w:p>
    <w:p w14:paraId="7E273F88" w14:textId="7E08A245" w:rsidR="00FE36E7" w:rsidRDefault="00FE36E7" w:rsidP="00C93F00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Segoe UI"/>
        </w:rPr>
      </w:pPr>
    </w:p>
    <w:p w14:paraId="2C462941" w14:textId="77777777" w:rsidR="0072338A" w:rsidRDefault="0072338A" w:rsidP="00C93F00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Segoe UI"/>
        </w:rPr>
      </w:pPr>
    </w:p>
    <w:p w14:paraId="4F6D2EEA" w14:textId="2AC80BAD" w:rsidR="00487BDB" w:rsidRPr="00FE36E7" w:rsidRDefault="000844F7" w:rsidP="00C93F00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Segoe UI"/>
          <w:b/>
          <w:i/>
        </w:rPr>
      </w:pPr>
      <w:r>
        <w:rPr>
          <w:rFonts w:ascii="Calibri" w:hAnsi="Calibri" w:cs="Segoe UI"/>
          <w:b/>
          <w:i/>
        </w:rPr>
        <w:t xml:space="preserve">Obrázek 1: </w:t>
      </w:r>
      <w:r w:rsidR="00487BDB" w:rsidRPr="00FE36E7">
        <w:rPr>
          <w:rFonts w:ascii="Calibri" w:hAnsi="Calibri" w:cs="Segoe UI"/>
          <w:b/>
          <w:i/>
        </w:rPr>
        <w:t>Přehled fází vývoje očkovací látky</w:t>
      </w:r>
    </w:p>
    <w:p w14:paraId="2A4CF131" w14:textId="64A66CA3" w:rsidR="00763411" w:rsidRDefault="00487BDB" w:rsidP="00C93F00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Segoe UI"/>
        </w:rPr>
      </w:pPr>
      <w:r>
        <w:rPr>
          <w:noProof/>
        </w:rPr>
        <w:drawing>
          <wp:inline distT="0" distB="0" distL="0" distR="0" wp14:anchorId="5FA285FA" wp14:editId="6F16B2B5">
            <wp:extent cx="5726430" cy="2056326"/>
            <wp:effectExtent l="19050" t="0" r="762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103CCE1A" w14:textId="6A8DBB54" w:rsidR="00763411" w:rsidRDefault="00B754F4" w:rsidP="00C93F00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Segoe UI"/>
        </w:rPr>
      </w:pPr>
      <w:r>
        <w:rPr>
          <w:rFonts w:ascii="Calibri" w:hAnsi="Calibri" w:cs="Segoe UI"/>
        </w:rPr>
        <w:t>Podle současných informací bylo zažádáno o registraci v rámci EU u několika očkovacích látek</w:t>
      </w:r>
      <w:r w:rsidR="000F5FBE">
        <w:rPr>
          <w:rFonts w:ascii="Calibri" w:hAnsi="Calibri" w:cs="Segoe UI"/>
        </w:rPr>
        <w:t>. U těchto látek lze očekávat brzkou dostupnost nebo možnost zajištění dostatečných dodávek očkovacích látek k zajištění celonárodní očkovací kampaně pro prioritizované skupiny a následně pro celou populaci</w:t>
      </w:r>
      <w:r w:rsidR="00F667FC">
        <w:rPr>
          <w:rFonts w:ascii="Calibri" w:hAnsi="Calibri" w:cs="Segoe UI"/>
        </w:rPr>
        <w:t>. Jejich přehled uvádí tabulka 2</w:t>
      </w:r>
      <w:r w:rsidR="000F5FBE">
        <w:rPr>
          <w:rFonts w:ascii="Calibri" w:hAnsi="Calibri" w:cs="Segoe UI"/>
        </w:rPr>
        <w:t>.</w:t>
      </w:r>
    </w:p>
    <w:p w14:paraId="090C875D" w14:textId="351B8B0F" w:rsidR="001E422B" w:rsidRDefault="001E422B">
      <w:pPr>
        <w:rPr>
          <w:rFonts w:ascii="Calibri" w:hAnsi="Calibri" w:cs="Segoe UI"/>
          <w:b/>
          <w:i/>
          <w:sz w:val="24"/>
          <w:szCs w:val="24"/>
          <w:lang w:eastAsia="cs-CZ"/>
        </w:rPr>
      </w:pPr>
      <w:r>
        <w:rPr>
          <w:rFonts w:ascii="Calibri" w:hAnsi="Calibri" w:cs="Segoe UI"/>
          <w:b/>
          <w:i/>
        </w:rPr>
        <w:br w:type="page"/>
      </w:r>
    </w:p>
    <w:p w14:paraId="61BDF989" w14:textId="69B3AB75" w:rsidR="000F5FBE" w:rsidRPr="000F5FBE" w:rsidRDefault="00F667FC" w:rsidP="00C93F00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Segoe UI"/>
          <w:b/>
          <w:i/>
        </w:rPr>
      </w:pPr>
      <w:r>
        <w:rPr>
          <w:rFonts w:ascii="Calibri" w:hAnsi="Calibri" w:cs="Segoe UI"/>
          <w:b/>
          <w:i/>
        </w:rPr>
        <w:lastRenderedPageBreak/>
        <w:t>Tabulka 2</w:t>
      </w:r>
      <w:r w:rsidR="000F5FBE" w:rsidRPr="000F5FBE">
        <w:rPr>
          <w:rFonts w:ascii="Calibri" w:hAnsi="Calibri" w:cs="Segoe UI"/>
          <w:b/>
          <w:i/>
        </w:rPr>
        <w:t>: Přehled kandidátních vakcín proti nemoci COVID-19 a současného stavu jejich vývoje (informace se mohou postupně měnit, stav k 30.11. 2020)</w:t>
      </w:r>
    </w:p>
    <w:p w14:paraId="59911595" w14:textId="77777777" w:rsidR="00763411" w:rsidRPr="00F545A1" w:rsidRDefault="00763411" w:rsidP="00C93F0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cs="Calibri"/>
        </w:rPr>
      </w:pPr>
    </w:p>
    <w:tbl>
      <w:tblPr>
        <w:tblStyle w:val="Tmavtabulkasmkou5zvraznn1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1418"/>
        <w:gridCol w:w="1275"/>
        <w:gridCol w:w="1546"/>
        <w:gridCol w:w="1998"/>
      </w:tblGrid>
      <w:tr w:rsidR="0066389F" w:rsidRPr="0066389F" w14:paraId="10087254" w14:textId="77777777" w:rsidTr="00743C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64CC9" w14:textId="77777777" w:rsidR="0066389F" w:rsidRPr="0066389F" w:rsidRDefault="0066389F" w:rsidP="0066389F">
            <w:pPr>
              <w:rPr>
                <w:sz w:val="22"/>
                <w:szCs w:val="22"/>
              </w:rPr>
            </w:pPr>
            <w:r w:rsidRPr="0066389F">
              <w:rPr>
                <w:sz w:val="22"/>
                <w:szCs w:val="22"/>
              </w:rPr>
              <w:t>Společnost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851F" w14:textId="77777777" w:rsidR="0066389F" w:rsidRPr="0066389F" w:rsidRDefault="0066389F" w:rsidP="006638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66389F">
              <w:rPr>
                <w:rFonts w:cstheme="minorHAnsi"/>
                <w:sz w:val="22"/>
                <w:szCs w:val="22"/>
              </w:rPr>
              <w:t>Typ vakcíny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E8C1" w14:textId="1101FEF7" w:rsidR="0066389F" w:rsidRPr="0066389F" w:rsidRDefault="0066389F" w:rsidP="00D726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66389F">
              <w:rPr>
                <w:rFonts w:cstheme="minorHAnsi"/>
                <w:sz w:val="22"/>
                <w:szCs w:val="22"/>
              </w:rPr>
              <w:t xml:space="preserve">Počet dávek, očkovací </w:t>
            </w:r>
            <w:r w:rsidR="00D72648">
              <w:rPr>
                <w:rFonts w:cstheme="minorHAnsi"/>
                <w:sz w:val="22"/>
                <w:szCs w:val="22"/>
              </w:rPr>
              <w:t>schéma</w:t>
            </w:r>
            <w:r w:rsidR="00FD00F8">
              <w:rPr>
                <w:rFonts w:cstheme="minorHAnsi"/>
                <w:sz w:val="22"/>
                <w:szCs w:val="22"/>
              </w:rPr>
              <w:t>, skladování</w:t>
            </w:r>
            <w:r w:rsidRPr="00FD00F8"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FC91" w14:textId="77777777" w:rsidR="0066389F" w:rsidRPr="0066389F" w:rsidRDefault="0066389F" w:rsidP="006638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66389F">
              <w:rPr>
                <w:rFonts w:cstheme="minorHAnsi"/>
                <w:sz w:val="22"/>
                <w:szCs w:val="22"/>
              </w:rPr>
              <w:t>Aplikační objem vakcíny*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23950" w14:textId="77777777" w:rsidR="0066389F" w:rsidRPr="0066389F" w:rsidRDefault="0066389F" w:rsidP="006638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66389F">
              <w:rPr>
                <w:rFonts w:cstheme="minorHAnsi"/>
                <w:sz w:val="22"/>
                <w:szCs w:val="22"/>
              </w:rPr>
              <w:t>Stav: Klinická fáze vývoje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DAED1" w14:textId="77777777" w:rsidR="0066389F" w:rsidRPr="0066389F" w:rsidRDefault="0066389F" w:rsidP="006638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66389F">
              <w:rPr>
                <w:rFonts w:cstheme="minorHAnsi"/>
                <w:sz w:val="22"/>
                <w:szCs w:val="22"/>
              </w:rPr>
              <w:t>Plánované podání žádosti pro povolení v rámci EU</w:t>
            </w:r>
          </w:p>
        </w:tc>
      </w:tr>
      <w:tr w:rsidR="00F36934" w14:paraId="2764B3CC" w14:textId="77777777" w:rsidTr="00743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auto"/>
            </w:tcBorders>
            <w:vAlign w:val="center"/>
          </w:tcPr>
          <w:p w14:paraId="513FE166" w14:textId="77777777" w:rsidR="0066389F" w:rsidRPr="001133F3" w:rsidRDefault="0066389F" w:rsidP="0066389F">
            <w:pPr>
              <w:pStyle w:val="Other0"/>
              <w:spacing w:after="0" w:line="23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3F3">
              <w:rPr>
                <w:rFonts w:asciiTheme="minorHAnsi" w:hAnsiTheme="minorHAnsi" w:cstheme="minorHAnsi"/>
                <w:sz w:val="22"/>
                <w:szCs w:val="22"/>
              </w:rPr>
              <w:t>Astra</w:t>
            </w:r>
          </w:p>
          <w:p w14:paraId="2F16B14C" w14:textId="4C2AE60B" w:rsidR="0066389F" w:rsidRPr="001133F3" w:rsidRDefault="0066389F" w:rsidP="0066389F">
            <w:pPr>
              <w:pStyle w:val="Other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3F3">
              <w:rPr>
                <w:rFonts w:asciiTheme="minorHAnsi" w:hAnsiTheme="minorHAnsi" w:cstheme="minorHAnsi"/>
                <w:sz w:val="22"/>
                <w:szCs w:val="22"/>
              </w:rPr>
              <w:t>Zeneca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(O</w:t>
            </w:r>
            <w:r w:rsidRPr="001133F3">
              <w:rPr>
                <w:rFonts w:asciiTheme="minorHAnsi" w:hAnsiTheme="minorHAnsi" w:cstheme="minorHAnsi"/>
                <w:sz w:val="22"/>
                <w:szCs w:val="22"/>
              </w:rPr>
              <w:t>xford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5025813D" w14:textId="496F6343" w:rsidR="0066389F" w:rsidRPr="001133F3" w:rsidRDefault="0066389F" w:rsidP="0066389F">
            <w:pPr>
              <w:pStyle w:val="Other0"/>
              <w:spacing w:after="0" w:line="23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dxa"/>
            <w:tcBorders>
              <w:top w:val="single" w:sz="4" w:space="0" w:color="auto"/>
            </w:tcBorders>
            <w:vAlign w:val="center"/>
          </w:tcPr>
          <w:p w14:paraId="49DBE843" w14:textId="7EDB26CA" w:rsidR="0066389F" w:rsidRPr="001133F3" w:rsidRDefault="00FD00F8" w:rsidP="00D739F1">
            <w:pPr>
              <w:pStyle w:val="Other0"/>
              <w:spacing w:after="0" w:line="233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Rekombinantní, vektorová (adenovirus </w:t>
            </w:r>
            <w:r w:rsidR="0066389F" w:rsidRPr="001133F3">
              <w:rPr>
                <w:rFonts w:asciiTheme="minorHAnsi" w:hAnsiTheme="minorHAnsi" w:cstheme="minorHAnsi"/>
                <w:sz w:val="22"/>
                <w:szCs w:val="22"/>
              </w:rPr>
              <w:t>ChAdOx1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0" w:type="dxa"/>
            <w:tcBorders>
              <w:top w:val="single" w:sz="4" w:space="0" w:color="auto"/>
            </w:tcBorders>
            <w:vAlign w:val="center"/>
          </w:tcPr>
          <w:p w14:paraId="146A29C9" w14:textId="40781CF7" w:rsidR="0066389F" w:rsidRPr="001133F3" w:rsidRDefault="0066389F" w:rsidP="0066389F">
            <w:pPr>
              <w:pStyle w:val="Other0"/>
              <w:spacing w:after="0" w:line="216" w:lineRule="auto"/>
              <w:ind w:lef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133F3">
              <w:rPr>
                <w:rFonts w:asciiTheme="minorHAnsi" w:hAnsiTheme="minorHAnsi" w:cstheme="minorHAnsi"/>
                <w:sz w:val="22"/>
                <w:szCs w:val="22"/>
              </w:rPr>
              <w:t>2 dávky</w:t>
            </w:r>
          </w:p>
          <w:p w14:paraId="5353F67D" w14:textId="4BAEB6CF" w:rsidR="0066389F" w:rsidRPr="001133F3" w:rsidRDefault="00254CE0" w:rsidP="0042618C">
            <w:pPr>
              <w:pStyle w:val="Other0"/>
              <w:spacing w:after="0" w:line="216" w:lineRule="auto"/>
              <w:ind w:lef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66389F" w:rsidRPr="001133F3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66389F" w:rsidRPr="001133F3">
              <w:rPr>
                <w:rFonts w:asciiTheme="minorHAnsi" w:hAnsiTheme="minorHAnsi" w:cstheme="minorHAnsi"/>
                <w:sz w:val="22"/>
                <w:szCs w:val="22"/>
              </w:rPr>
              <w:t xml:space="preserve"> 28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6389F" w:rsidRPr="001133F3">
              <w:rPr>
                <w:rFonts w:asciiTheme="minorHAnsi" w:hAnsiTheme="minorHAnsi" w:cstheme="minorHAnsi"/>
                <w:sz w:val="22"/>
                <w:szCs w:val="22"/>
              </w:rPr>
              <w:t>dní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FD00F8">
              <w:rPr>
                <w:rFonts w:asciiTheme="minorHAnsi" w:hAnsiTheme="minorHAnsi" w:cstheme="minorHAnsi"/>
                <w:sz w:val="22"/>
                <w:szCs w:val="22"/>
              </w:rPr>
              <w:t xml:space="preserve"> 2-8</w:t>
            </w:r>
            <w:r w:rsidR="00FD00F8" w:rsidRPr="00FD00F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o</w:t>
            </w:r>
            <w:r w:rsidR="00FD00F8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0" w:type="dxa"/>
            <w:tcBorders>
              <w:top w:val="single" w:sz="4" w:space="0" w:color="auto"/>
            </w:tcBorders>
            <w:vAlign w:val="center"/>
          </w:tcPr>
          <w:p w14:paraId="57240202" w14:textId="4927C18B" w:rsidR="0066389F" w:rsidRPr="001133F3" w:rsidRDefault="0066389F" w:rsidP="00D739F1">
            <w:pPr>
              <w:pStyle w:val="Other0"/>
              <w:spacing w:after="0" w:line="233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133F3">
              <w:rPr>
                <w:rFonts w:asciiTheme="minorHAnsi" w:hAnsiTheme="minorHAnsi" w:cstheme="minorHAnsi"/>
                <w:sz w:val="22"/>
                <w:szCs w:val="22"/>
              </w:rPr>
              <w:t xml:space="preserve">1 dávka à 0,5 ml </w:t>
            </w:r>
            <w:r w:rsidR="00D739F1">
              <w:rPr>
                <w:rFonts w:asciiTheme="minorHAnsi" w:hAnsiTheme="minorHAnsi" w:cstheme="minorHAnsi"/>
                <w:sz w:val="22"/>
                <w:szCs w:val="22"/>
              </w:rPr>
              <w:t>i.m.</w:t>
            </w:r>
            <w:r w:rsidR="00FD00F8">
              <w:rPr>
                <w:rFonts w:asciiTheme="minorHAnsi" w:hAnsiTheme="minorHAnsi" w:cstheme="minorHAnsi"/>
                <w:sz w:val="22"/>
                <w:szCs w:val="22"/>
              </w:rPr>
              <w:t>, 10 dávek v lahvičce</w:t>
            </w:r>
          </w:p>
        </w:tc>
        <w:tc>
          <w:tcPr>
            <w:tcW w:w="0" w:type="dxa"/>
            <w:tcBorders>
              <w:top w:val="single" w:sz="4" w:space="0" w:color="auto"/>
            </w:tcBorders>
            <w:vAlign w:val="center"/>
          </w:tcPr>
          <w:p w14:paraId="1B6DF672" w14:textId="77777777" w:rsidR="0066389F" w:rsidRPr="001133F3" w:rsidRDefault="0066389F" w:rsidP="0066389F">
            <w:pPr>
              <w:pStyle w:val="Other0"/>
              <w:spacing w:after="0" w:line="233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133F3">
              <w:rPr>
                <w:rFonts w:asciiTheme="minorHAnsi" w:hAnsiTheme="minorHAnsi" w:cstheme="minorHAnsi"/>
                <w:sz w:val="22"/>
                <w:szCs w:val="22"/>
              </w:rPr>
              <w:t>Fáze I/II: UK Fáze III: UK, Brazílie, Jižní Afrika, Indie, USA</w:t>
            </w:r>
          </w:p>
        </w:tc>
        <w:tc>
          <w:tcPr>
            <w:tcW w:w="0" w:type="dxa"/>
            <w:tcBorders>
              <w:top w:val="single" w:sz="4" w:space="0" w:color="auto"/>
            </w:tcBorders>
            <w:vAlign w:val="center"/>
          </w:tcPr>
          <w:p w14:paraId="64944695" w14:textId="7C2D3DC8" w:rsidR="0066389F" w:rsidRPr="001133F3" w:rsidRDefault="00F249CF" w:rsidP="00760AB4">
            <w:pPr>
              <w:pStyle w:val="Other0"/>
              <w:spacing w:after="0" w:line="233" w:lineRule="auto"/>
              <w:ind w:left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Průběžné </w:t>
            </w:r>
            <w:r w:rsidR="00E62D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60AB4">
              <w:rPr>
                <w:rFonts w:asciiTheme="minorHAnsi" w:hAnsiTheme="minorHAnsi" w:cstheme="minorHAnsi"/>
                <w:sz w:val="22"/>
                <w:szCs w:val="22"/>
              </w:rPr>
              <w:t xml:space="preserve">posouzení </w:t>
            </w:r>
            <w:r w:rsidR="00E62D11">
              <w:rPr>
                <w:rFonts w:asciiTheme="minorHAnsi" w:hAnsiTheme="minorHAnsi" w:cstheme="minorHAnsi"/>
                <w:sz w:val="22"/>
                <w:szCs w:val="22"/>
              </w:rPr>
              <w:t>zahájeno</w:t>
            </w:r>
            <w:r w:rsidR="0066389F" w:rsidRPr="001133F3">
              <w:rPr>
                <w:rFonts w:asciiTheme="minorHAnsi" w:hAnsiTheme="minorHAnsi" w:cstheme="minorHAnsi"/>
                <w:sz w:val="22"/>
                <w:szCs w:val="22"/>
              </w:rPr>
              <w:t xml:space="preserve"> v říjnu 2020</w:t>
            </w:r>
          </w:p>
        </w:tc>
      </w:tr>
      <w:tr w:rsidR="00F36934" w14:paraId="0111B831" w14:textId="77777777" w:rsidTr="00743C8E">
        <w:trPr>
          <w:trHeight w:hRule="exact" w:val="1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5D5261A3" w14:textId="7C050EB1" w:rsidR="0066389F" w:rsidRPr="001133F3" w:rsidRDefault="0066389F" w:rsidP="0066389F">
            <w:pPr>
              <w:pStyle w:val="Other0"/>
              <w:spacing w:after="0" w:line="233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3F3">
              <w:rPr>
                <w:rFonts w:asciiTheme="minorHAnsi" w:hAnsiTheme="minorHAnsi" w:cstheme="minorHAnsi"/>
                <w:sz w:val="22"/>
                <w:szCs w:val="22"/>
              </w:rPr>
              <w:t xml:space="preserve">Pfizer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1133F3">
              <w:rPr>
                <w:rFonts w:asciiTheme="minorHAnsi" w:hAnsiTheme="minorHAnsi" w:cstheme="minorHAnsi"/>
                <w:sz w:val="22"/>
                <w:szCs w:val="22"/>
              </w:rPr>
              <w:t>BioN- Tech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0" w:type="dxa"/>
            <w:vAlign w:val="center"/>
          </w:tcPr>
          <w:p w14:paraId="3C78A3D3" w14:textId="20047131" w:rsidR="0066389F" w:rsidRPr="001133F3" w:rsidRDefault="00FD00F8" w:rsidP="0066389F">
            <w:pPr>
              <w:pStyle w:val="Other0"/>
              <w:spacing w:after="0" w:line="233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Genová, </w:t>
            </w:r>
            <w:r w:rsidR="00905A1F">
              <w:rPr>
                <w:rFonts w:asciiTheme="minorHAnsi" w:hAnsiTheme="minorHAnsi" w:cstheme="minorHAnsi"/>
                <w:sz w:val="22"/>
                <w:szCs w:val="22"/>
              </w:rPr>
              <w:t xml:space="preserve">mRNA, </w:t>
            </w:r>
            <w:r w:rsidR="0066389F" w:rsidRPr="001133F3">
              <w:rPr>
                <w:rFonts w:asciiTheme="minorHAnsi" w:hAnsiTheme="minorHAnsi" w:cstheme="minorHAnsi"/>
                <w:sz w:val="22"/>
                <w:szCs w:val="22"/>
              </w:rPr>
              <w:t>obalená lipidovými nanočásticemi</w:t>
            </w:r>
          </w:p>
        </w:tc>
        <w:tc>
          <w:tcPr>
            <w:tcW w:w="0" w:type="dxa"/>
            <w:vAlign w:val="center"/>
          </w:tcPr>
          <w:p w14:paraId="07654BF9" w14:textId="77777777" w:rsidR="00FD00F8" w:rsidRDefault="0066389F" w:rsidP="0066389F">
            <w:pPr>
              <w:pStyle w:val="Other0"/>
              <w:spacing w:after="0" w:line="233" w:lineRule="auto"/>
              <w:ind w:lef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133F3">
              <w:rPr>
                <w:rFonts w:asciiTheme="minorHAnsi" w:hAnsiTheme="minorHAnsi" w:cstheme="minorHAnsi"/>
                <w:sz w:val="22"/>
                <w:szCs w:val="22"/>
              </w:rPr>
              <w:t>2 dávky</w:t>
            </w:r>
          </w:p>
          <w:p w14:paraId="20BF5B89" w14:textId="046D5E46" w:rsidR="0066389F" w:rsidRDefault="00FD00F8" w:rsidP="00FD00F8">
            <w:pPr>
              <w:pStyle w:val="Other0"/>
              <w:spacing w:after="0" w:line="233" w:lineRule="auto"/>
              <w:ind w:lef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(0-</w:t>
            </w:r>
            <w:r w:rsidR="0066389F" w:rsidRPr="001133F3">
              <w:rPr>
                <w:rFonts w:asciiTheme="minorHAnsi" w:hAnsiTheme="minorHAnsi" w:cstheme="minorHAnsi"/>
                <w:sz w:val="22"/>
                <w:szCs w:val="22"/>
              </w:rPr>
              <w:t>21 dní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7B31A7EC" w14:textId="68C595F6" w:rsidR="00FD00F8" w:rsidRPr="001133F3" w:rsidRDefault="00FD00F8" w:rsidP="00FD00F8">
            <w:pPr>
              <w:pStyle w:val="Other0"/>
              <w:spacing w:after="0" w:line="233" w:lineRule="auto"/>
              <w:ind w:lef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-70</w:t>
            </w:r>
            <w:r w:rsidRPr="00FD00F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0" w:type="dxa"/>
            <w:vAlign w:val="center"/>
          </w:tcPr>
          <w:p w14:paraId="3B03F382" w14:textId="2BB79DD4" w:rsidR="0066389F" w:rsidRPr="001133F3" w:rsidRDefault="0066389F" w:rsidP="00D739F1">
            <w:pPr>
              <w:pStyle w:val="Other0"/>
              <w:spacing w:after="0" w:line="233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133F3">
              <w:rPr>
                <w:rFonts w:asciiTheme="minorHAnsi" w:hAnsiTheme="minorHAnsi" w:cstheme="minorHAnsi"/>
                <w:sz w:val="22"/>
                <w:szCs w:val="22"/>
              </w:rPr>
              <w:t>1 dávka à 0,3 ml i.m.</w:t>
            </w:r>
            <w:r w:rsidR="00D739F1">
              <w:rPr>
                <w:rFonts w:asciiTheme="minorHAnsi" w:hAnsiTheme="minorHAnsi" w:cstheme="minorHAnsi"/>
                <w:sz w:val="22"/>
                <w:szCs w:val="22"/>
              </w:rPr>
              <w:t>, 5 dávek v lahvičce</w:t>
            </w:r>
          </w:p>
        </w:tc>
        <w:tc>
          <w:tcPr>
            <w:tcW w:w="0" w:type="dxa"/>
            <w:vAlign w:val="center"/>
          </w:tcPr>
          <w:p w14:paraId="21A195EC" w14:textId="77777777" w:rsidR="0066389F" w:rsidRPr="001133F3" w:rsidRDefault="0066389F" w:rsidP="0066389F">
            <w:pPr>
              <w:pStyle w:val="Other0"/>
              <w:spacing w:after="0" w:line="233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133F3">
              <w:rPr>
                <w:rFonts w:asciiTheme="minorHAnsi" w:hAnsiTheme="minorHAnsi" w:cstheme="minorHAnsi"/>
                <w:sz w:val="22"/>
                <w:szCs w:val="22"/>
              </w:rPr>
              <w:t>Fáze I/II: SRN, USA, Fáze III: USA, Brazílie, Argentina, Turecko, SRN</w:t>
            </w:r>
          </w:p>
        </w:tc>
        <w:tc>
          <w:tcPr>
            <w:tcW w:w="0" w:type="dxa"/>
            <w:vAlign w:val="center"/>
          </w:tcPr>
          <w:p w14:paraId="4F015474" w14:textId="050459FC" w:rsidR="0066389F" w:rsidRPr="001133F3" w:rsidRDefault="00F249CF" w:rsidP="0066389F">
            <w:pPr>
              <w:pStyle w:val="Other0"/>
              <w:spacing w:after="0" w:line="233" w:lineRule="auto"/>
              <w:ind w:left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Průběžné posouzení, předložení žádosti o podmínečnou registraci 30.11.2020</w:t>
            </w:r>
          </w:p>
        </w:tc>
      </w:tr>
      <w:tr w:rsidR="00F36934" w14:paraId="1BC5AC30" w14:textId="77777777" w:rsidTr="00743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20F5C524" w14:textId="77777777" w:rsidR="00FD00F8" w:rsidRDefault="0066389F" w:rsidP="0066389F">
            <w:pPr>
              <w:pStyle w:val="Other0"/>
              <w:spacing w:after="0" w:line="233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3F3"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ohnson</w:t>
            </w:r>
            <w:r w:rsidRPr="001133F3">
              <w:rPr>
                <w:rFonts w:asciiTheme="minorHAnsi" w:hAnsiTheme="minorHAnsi" w:cstheme="minorHAnsi"/>
                <w:sz w:val="22"/>
                <w:szCs w:val="22"/>
              </w:rPr>
              <w:t>&amp;</w:t>
            </w:r>
          </w:p>
          <w:p w14:paraId="1FD3DF4F" w14:textId="1E5E4124" w:rsidR="0066389F" w:rsidRPr="001133F3" w:rsidRDefault="0066389F" w:rsidP="0066389F">
            <w:pPr>
              <w:pStyle w:val="Other0"/>
              <w:spacing w:after="0" w:line="233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Johnson (</w:t>
            </w:r>
            <w:r w:rsidRPr="001133F3">
              <w:rPr>
                <w:rFonts w:asciiTheme="minorHAnsi" w:hAnsiTheme="minorHAnsi" w:cstheme="minorHAnsi"/>
                <w:sz w:val="22"/>
                <w:szCs w:val="22"/>
              </w:rPr>
              <w:t>Jansen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0" w:type="dxa"/>
            <w:vAlign w:val="center"/>
          </w:tcPr>
          <w:p w14:paraId="1E2A9353" w14:textId="6435C4D6" w:rsidR="0066389F" w:rsidRPr="001133F3" w:rsidRDefault="00D739F1" w:rsidP="00EE592C">
            <w:pPr>
              <w:pStyle w:val="Other0"/>
              <w:spacing w:after="0" w:line="233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Vektorová (adenovirus </w:t>
            </w:r>
            <w:r w:rsidR="0066389F" w:rsidRPr="001133F3">
              <w:rPr>
                <w:rFonts w:asciiTheme="minorHAnsi" w:hAnsiTheme="minorHAnsi" w:cstheme="minorHAnsi"/>
                <w:sz w:val="22"/>
                <w:szCs w:val="22"/>
              </w:rPr>
              <w:t>Ad26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0" w:type="dxa"/>
            <w:vAlign w:val="center"/>
          </w:tcPr>
          <w:p w14:paraId="626289EA" w14:textId="2B67EAC8" w:rsidR="0066389F" w:rsidRPr="001133F3" w:rsidRDefault="0066389F" w:rsidP="00D739F1">
            <w:pPr>
              <w:pStyle w:val="Other0"/>
              <w:spacing w:after="0" w:line="223" w:lineRule="auto"/>
              <w:ind w:lef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133F3">
              <w:rPr>
                <w:rFonts w:asciiTheme="minorHAnsi" w:hAnsiTheme="minorHAnsi" w:cstheme="minorHAnsi"/>
                <w:sz w:val="22"/>
                <w:szCs w:val="22"/>
              </w:rPr>
              <w:t>1 dávk</w:t>
            </w:r>
            <w:r w:rsidR="00D739F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0" w:type="dxa"/>
            <w:vAlign w:val="center"/>
          </w:tcPr>
          <w:p w14:paraId="7951C563" w14:textId="0062D3ED" w:rsidR="0066389F" w:rsidRPr="001133F3" w:rsidRDefault="0066389F" w:rsidP="0066389F">
            <w:pPr>
              <w:pStyle w:val="Other0"/>
              <w:spacing w:after="0" w:line="233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133F3">
              <w:rPr>
                <w:rFonts w:asciiTheme="minorHAnsi" w:hAnsiTheme="minorHAnsi" w:cstheme="minorHAnsi"/>
                <w:sz w:val="22"/>
                <w:szCs w:val="22"/>
              </w:rPr>
              <w:t>1 dávka à 0,5 ml i.m.</w:t>
            </w:r>
            <w:r w:rsidR="00D739F1">
              <w:rPr>
                <w:rFonts w:asciiTheme="minorHAnsi" w:hAnsiTheme="minorHAnsi" w:cstheme="minorHAnsi"/>
                <w:sz w:val="22"/>
                <w:szCs w:val="22"/>
              </w:rPr>
              <w:t>, 10 dávek v lahvičce</w:t>
            </w:r>
          </w:p>
        </w:tc>
        <w:tc>
          <w:tcPr>
            <w:tcW w:w="0" w:type="dxa"/>
            <w:vAlign w:val="center"/>
          </w:tcPr>
          <w:p w14:paraId="510E545C" w14:textId="77777777" w:rsidR="0066389F" w:rsidRPr="001133F3" w:rsidRDefault="0066389F" w:rsidP="0066389F">
            <w:pPr>
              <w:pStyle w:val="Other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133F3">
              <w:rPr>
                <w:rFonts w:asciiTheme="minorHAnsi" w:hAnsiTheme="minorHAnsi" w:cstheme="minorHAnsi"/>
                <w:sz w:val="22"/>
                <w:szCs w:val="22"/>
              </w:rPr>
              <w:t>Fáze I/II: Belgie, USA</w:t>
            </w:r>
          </w:p>
          <w:p w14:paraId="2DC72EC1" w14:textId="77777777" w:rsidR="0066389F" w:rsidRPr="001133F3" w:rsidRDefault="0066389F" w:rsidP="0066389F">
            <w:pPr>
              <w:pStyle w:val="Other0"/>
              <w:spacing w:after="0" w:line="23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133F3">
              <w:rPr>
                <w:rFonts w:asciiTheme="minorHAnsi" w:hAnsiTheme="minorHAnsi" w:cstheme="minorHAnsi"/>
                <w:sz w:val="22"/>
                <w:szCs w:val="22"/>
              </w:rPr>
              <w:t>Fáze II: SRN</w:t>
            </w:r>
          </w:p>
          <w:p w14:paraId="4D597A14" w14:textId="77777777" w:rsidR="0066389F" w:rsidRPr="001133F3" w:rsidRDefault="0066389F" w:rsidP="0066389F">
            <w:pPr>
              <w:pStyle w:val="Other0"/>
              <w:spacing w:after="0" w:line="23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133F3">
              <w:rPr>
                <w:rFonts w:asciiTheme="minorHAnsi" w:hAnsiTheme="minorHAnsi" w:cstheme="minorHAnsi"/>
                <w:sz w:val="22"/>
                <w:szCs w:val="22"/>
              </w:rPr>
              <w:t>Fáze III: svět</w:t>
            </w:r>
          </w:p>
        </w:tc>
        <w:tc>
          <w:tcPr>
            <w:tcW w:w="0" w:type="dxa"/>
            <w:vAlign w:val="center"/>
          </w:tcPr>
          <w:p w14:paraId="7CAD348B" w14:textId="226E14B2" w:rsidR="0066389F" w:rsidRPr="001133F3" w:rsidRDefault="00797A40" w:rsidP="0066389F">
            <w:pPr>
              <w:pStyle w:val="Other0"/>
              <w:spacing w:after="0" w:line="240" w:lineRule="auto"/>
              <w:ind w:left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Začátek průběžné kontroly  v</w:t>
            </w:r>
            <w:r w:rsidR="00E62D11">
              <w:rPr>
                <w:rFonts w:asciiTheme="minorHAnsi" w:hAnsiTheme="minorHAnsi" w:cstheme="minorHAnsi"/>
                <w:sz w:val="22"/>
                <w:szCs w:val="22"/>
              </w:rPr>
              <w:t xml:space="preserve"> prosinc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E62D11">
              <w:rPr>
                <w:rFonts w:asciiTheme="minorHAnsi" w:hAnsiTheme="minorHAnsi" w:cstheme="minorHAnsi"/>
                <w:sz w:val="22"/>
                <w:szCs w:val="22"/>
              </w:rPr>
              <w:t xml:space="preserve"> 2020</w:t>
            </w:r>
          </w:p>
        </w:tc>
      </w:tr>
      <w:tr w:rsidR="00F36934" w14:paraId="3E7CE421" w14:textId="77777777" w:rsidTr="004F20D7">
        <w:trPr>
          <w:trHeight w:hRule="exact"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096B724D" w14:textId="0A575853" w:rsidR="0066389F" w:rsidRPr="001133F3" w:rsidRDefault="0066389F" w:rsidP="0066389F">
            <w:pPr>
              <w:pStyle w:val="Other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3F3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anofi Pasteur (</w:t>
            </w:r>
            <w:r w:rsidRPr="001133F3">
              <w:rPr>
                <w:rFonts w:asciiTheme="minorHAnsi" w:hAnsiTheme="minorHAnsi" w:cstheme="minorHAnsi"/>
                <w:sz w:val="22"/>
                <w:szCs w:val="22"/>
              </w:rPr>
              <w:t>GSK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14:paraId="7A0CA4AC" w14:textId="77777777" w:rsidR="0066389F" w:rsidRPr="001133F3" w:rsidRDefault="0066389F" w:rsidP="0066389F">
            <w:pPr>
              <w:pStyle w:val="Other0"/>
              <w:spacing w:after="0" w:line="233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133F3">
              <w:rPr>
                <w:rFonts w:asciiTheme="minorHAnsi" w:hAnsiTheme="minorHAnsi" w:cstheme="minorHAnsi"/>
                <w:sz w:val="22"/>
                <w:szCs w:val="22"/>
              </w:rPr>
              <w:t>Rekombinantní, adjuvovaná</w:t>
            </w:r>
          </w:p>
        </w:tc>
        <w:tc>
          <w:tcPr>
            <w:tcW w:w="1418" w:type="dxa"/>
            <w:vAlign w:val="center"/>
          </w:tcPr>
          <w:p w14:paraId="6CBEDF3D" w14:textId="77777777" w:rsidR="0042618C" w:rsidRDefault="0066389F" w:rsidP="0066389F">
            <w:pPr>
              <w:pStyle w:val="Other0"/>
              <w:spacing w:after="0" w:line="233" w:lineRule="auto"/>
              <w:ind w:lef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133F3">
              <w:rPr>
                <w:rFonts w:asciiTheme="minorHAnsi" w:hAnsiTheme="minorHAnsi" w:cstheme="minorHAnsi"/>
                <w:sz w:val="22"/>
                <w:szCs w:val="22"/>
              </w:rPr>
              <w:t xml:space="preserve">2 dávky </w:t>
            </w:r>
          </w:p>
          <w:p w14:paraId="6E72E17B" w14:textId="7E89810F" w:rsidR="00905A1F" w:rsidRDefault="0042618C" w:rsidP="0066389F">
            <w:pPr>
              <w:pStyle w:val="Other0"/>
              <w:spacing w:after="0" w:line="233" w:lineRule="auto"/>
              <w:ind w:lef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66389F" w:rsidRPr="001133F3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  <w:r w:rsidR="0066389F" w:rsidRPr="001133F3">
              <w:rPr>
                <w:rFonts w:asciiTheme="minorHAnsi" w:hAnsiTheme="minorHAnsi" w:cstheme="minorHAnsi"/>
                <w:sz w:val="22"/>
                <w:szCs w:val="22"/>
              </w:rPr>
              <w:t>28 dní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905A1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2165D3C" w14:textId="1F572D55" w:rsidR="0066389F" w:rsidRPr="001133F3" w:rsidRDefault="00905A1F" w:rsidP="0066389F">
            <w:pPr>
              <w:pStyle w:val="Other0"/>
              <w:spacing w:after="0" w:line="233" w:lineRule="auto"/>
              <w:ind w:lef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-70</w:t>
            </w:r>
            <w:r w:rsidRPr="00FD00F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1275" w:type="dxa"/>
            <w:vAlign w:val="center"/>
          </w:tcPr>
          <w:p w14:paraId="3F039F4A" w14:textId="77777777" w:rsidR="0066389F" w:rsidRPr="001133F3" w:rsidRDefault="0066389F" w:rsidP="0066389F">
            <w:pPr>
              <w:pStyle w:val="Other0"/>
              <w:spacing w:after="0" w:line="233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133F3">
              <w:rPr>
                <w:rFonts w:asciiTheme="minorHAnsi" w:hAnsiTheme="minorHAnsi" w:cstheme="minorHAnsi"/>
                <w:sz w:val="22"/>
                <w:szCs w:val="22"/>
              </w:rPr>
              <w:t>1 dávka à 0,5 ml i.m.</w:t>
            </w:r>
          </w:p>
        </w:tc>
        <w:tc>
          <w:tcPr>
            <w:tcW w:w="1546" w:type="dxa"/>
            <w:vAlign w:val="center"/>
          </w:tcPr>
          <w:p w14:paraId="0902A138" w14:textId="77777777" w:rsidR="0066389F" w:rsidRPr="001133F3" w:rsidRDefault="0066389F" w:rsidP="0066389F">
            <w:pPr>
              <w:pStyle w:val="Other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133F3">
              <w:rPr>
                <w:rFonts w:asciiTheme="minorHAnsi" w:hAnsiTheme="minorHAnsi" w:cstheme="minorHAnsi"/>
                <w:sz w:val="22"/>
                <w:szCs w:val="22"/>
              </w:rPr>
              <w:t>Fáze I/II: USA</w:t>
            </w:r>
          </w:p>
          <w:p w14:paraId="44EF91D3" w14:textId="77777777" w:rsidR="0066389F" w:rsidRPr="001133F3" w:rsidRDefault="0066389F" w:rsidP="0066389F">
            <w:pPr>
              <w:pStyle w:val="Other0"/>
              <w:spacing w:after="0" w:line="23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133F3">
              <w:rPr>
                <w:rFonts w:asciiTheme="minorHAnsi" w:hAnsiTheme="minorHAnsi" w:cstheme="minorHAnsi"/>
                <w:sz w:val="22"/>
                <w:szCs w:val="22"/>
              </w:rPr>
              <w:t>Fáze III: USA</w:t>
            </w:r>
          </w:p>
        </w:tc>
        <w:tc>
          <w:tcPr>
            <w:tcW w:w="1998" w:type="dxa"/>
            <w:vAlign w:val="center"/>
          </w:tcPr>
          <w:p w14:paraId="35BA1323" w14:textId="77777777" w:rsidR="0066389F" w:rsidRPr="001133F3" w:rsidRDefault="0066389F" w:rsidP="0066389F">
            <w:pPr>
              <w:pStyle w:val="Other0"/>
              <w:spacing w:after="0" w:line="240" w:lineRule="auto"/>
              <w:ind w:left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133F3">
              <w:rPr>
                <w:rFonts w:asciiTheme="minorHAnsi" w:hAnsiTheme="minorHAnsi" w:cstheme="minorHAnsi"/>
                <w:sz w:val="22"/>
                <w:szCs w:val="22"/>
              </w:rPr>
              <w:t>2021</w:t>
            </w:r>
          </w:p>
        </w:tc>
      </w:tr>
      <w:tr w:rsidR="00F36934" w14:paraId="48431C58" w14:textId="77777777" w:rsidTr="00743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67E26067" w14:textId="77777777" w:rsidR="00FD00F8" w:rsidRDefault="0066389F" w:rsidP="0066389F">
            <w:pPr>
              <w:pStyle w:val="Other0"/>
              <w:spacing w:after="0" w:line="233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Moderna</w:t>
            </w:r>
          </w:p>
          <w:p w14:paraId="5848AB97" w14:textId="436DD71E" w:rsidR="0066389F" w:rsidRPr="001133F3" w:rsidRDefault="0066389F" w:rsidP="0066389F">
            <w:pPr>
              <w:pStyle w:val="Other0"/>
              <w:spacing w:after="0" w:line="233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1133F3">
              <w:rPr>
                <w:rFonts w:asciiTheme="minorHAnsi" w:hAnsiTheme="minorHAnsi" w:cstheme="minorHAnsi"/>
                <w:sz w:val="22"/>
                <w:szCs w:val="22"/>
              </w:rPr>
              <w:t>Lonza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0" w:type="dxa"/>
            <w:vAlign w:val="center"/>
          </w:tcPr>
          <w:p w14:paraId="76EBA561" w14:textId="248CA4A8" w:rsidR="0066389F" w:rsidRPr="001133F3" w:rsidRDefault="00905A1F" w:rsidP="00905A1F">
            <w:pPr>
              <w:pStyle w:val="Other0"/>
              <w:spacing w:after="0" w:line="233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Genová, </w:t>
            </w:r>
            <w:r w:rsidR="0066389F" w:rsidRPr="001133F3">
              <w:rPr>
                <w:rFonts w:asciiTheme="minorHAnsi" w:hAnsiTheme="minorHAnsi" w:cstheme="minorHAnsi"/>
                <w:sz w:val="22"/>
                <w:szCs w:val="22"/>
              </w:rPr>
              <w:t>mRNA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66389F" w:rsidRPr="001133F3">
              <w:rPr>
                <w:rFonts w:asciiTheme="minorHAnsi" w:hAnsiTheme="minorHAnsi" w:cstheme="minorHAnsi"/>
                <w:sz w:val="22"/>
                <w:szCs w:val="22"/>
              </w:rPr>
              <w:t>obalená lipidovými nanočásticemi</w:t>
            </w:r>
          </w:p>
        </w:tc>
        <w:tc>
          <w:tcPr>
            <w:tcW w:w="0" w:type="dxa"/>
            <w:vAlign w:val="center"/>
          </w:tcPr>
          <w:p w14:paraId="14F6CBF2" w14:textId="77777777" w:rsidR="00EE592C" w:rsidRDefault="0066389F" w:rsidP="0066389F">
            <w:pPr>
              <w:pStyle w:val="Other0"/>
              <w:spacing w:after="0" w:line="233" w:lineRule="auto"/>
              <w:ind w:lef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133F3">
              <w:rPr>
                <w:rFonts w:asciiTheme="minorHAnsi" w:hAnsiTheme="minorHAnsi" w:cstheme="minorHAnsi"/>
                <w:sz w:val="22"/>
                <w:szCs w:val="22"/>
              </w:rPr>
              <w:t>2 dávky</w:t>
            </w:r>
          </w:p>
          <w:p w14:paraId="49347F29" w14:textId="29CD2871" w:rsidR="0066389F" w:rsidRPr="001133F3" w:rsidRDefault="00EE592C" w:rsidP="00EE592C">
            <w:pPr>
              <w:pStyle w:val="Other0"/>
              <w:spacing w:after="0" w:line="233" w:lineRule="auto"/>
              <w:ind w:lef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66389F" w:rsidRPr="001133F3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66389F" w:rsidRPr="001133F3">
              <w:rPr>
                <w:rFonts w:asciiTheme="minorHAnsi" w:hAnsiTheme="minorHAnsi" w:cstheme="minorHAnsi"/>
                <w:sz w:val="22"/>
                <w:szCs w:val="22"/>
              </w:rPr>
              <w:t>28 dní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0" w:type="dxa"/>
            <w:vAlign w:val="center"/>
          </w:tcPr>
          <w:p w14:paraId="7DFF2AB9" w14:textId="77777777" w:rsidR="0066389F" w:rsidRPr="001133F3" w:rsidRDefault="0066389F" w:rsidP="0066389F">
            <w:pPr>
              <w:pStyle w:val="Other0"/>
              <w:spacing w:after="0" w:line="233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133F3">
              <w:rPr>
                <w:rFonts w:asciiTheme="minorHAnsi" w:hAnsiTheme="minorHAnsi" w:cstheme="minorHAnsi"/>
                <w:sz w:val="22"/>
                <w:szCs w:val="22"/>
              </w:rPr>
              <w:t>1 dávka à 0,5 ml i.m.</w:t>
            </w:r>
          </w:p>
        </w:tc>
        <w:tc>
          <w:tcPr>
            <w:tcW w:w="0" w:type="dxa"/>
            <w:vAlign w:val="center"/>
          </w:tcPr>
          <w:p w14:paraId="4116EB73" w14:textId="77777777" w:rsidR="0066389F" w:rsidRPr="001133F3" w:rsidRDefault="0066389F" w:rsidP="0066389F">
            <w:pPr>
              <w:pStyle w:val="Other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133F3">
              <w:rPr>
                <w:rFonts w:asciiTheme="minorHAnsi" w:hAnsiTheme="minorHAnsi" w:cstheme="minorHAnsi"/>
                <w:sz w:val="22"/>
                <w:szCs w:val="22"/>
              </w:rPr>
              <w:t>Fáze III: USA</w:t>
            </w:r>
          </w:p>
        </w:tc>
        <w:tc>
          <w:tcPr>
            <w:tcW w:w="0" w:type="dxa"/>
            <w:vAlign w:val="center"/>
          </w:tcPr>
          <w:p w14:paraId="27537884" w14:textId="52FD04A6" w:rsidR="0066389F" w:rsidRPr="001133F3" w:rsidRDefault="00B90631" w:rsidP="00B90631">
            <w:pPr>
              <w:pStyle w:val="Other0"/>
              <w:spacing w:after="0" w:line="233" w:lineRule="auto"/>
              <w:ind w:left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Začátek průběžné</w:t>
            </w:r>
            <w:r w:rsidR="00797A40">
              <w:rPr>
                <w:rFonts w:asciiTheme="minorHAnsi" w:hAnsiTheme="minorHAnsi" w:cstheme="minorHAnsi"/>
                <w:sz w:val="22"/>
                <w:szCs w:val="22"/>
              </w:rPr>
              <w:t>ho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97A40">
              <w:rPr>
                <w:rFonts w:asciiTheme="minorHAnsi" w:hAnsiTheme="minorHAnsi" w:cstheme="minorHAnsi"/>
                <w:sz w:val="22"/>
                <w:szCs w:val="22"/>
              </w:rPr>
              <w:t>posouzení, předložení žádosti o předběžnou registraci  30.11.</w:t>
            </w:r>
            <w:r w:rsidRPr="001133F3">
              <w:rPr>
                <w:rFonts w:asciiTheme="minorHAnsi" w:hAnsiTheme="minorHAnsi" w:cstheme="minorHAnsi"/>
                <w:sz w:val="22"/>
                <w:szCs w:val="22"/>
              </w:rPr>
              <w:t xml:space="preserve"> 2020</w:t>
            </w:r>
          </w:p>
        </w:tc>
      </w:tr>
      <w:tr w:rsidR="00F36934" w14:paraId="0ADACCD8" w14:textId="77777777" w:rsidTr="004F20D7">
        <w:trPr>
          <w:trHeight w:hRule="exact" w:val="10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51A3453E" w14:textId="77777777" w:rsidR="0066389F" w:rsidRPr="001133F3" w:rsidRDefault="0066389F" w:rsidP="0066389F">
            <w:pPr>
              <w:pStyle w:val="Other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3F3">
              <w:rPr>
                <w:rFonts w:asciiTheme="minorHAnsi" w:hAnsiTheme="minorHAnsi" w:cstheme="minorHAnsi"/>
                <w:sz w:val="22"/>
                <w:szCs w:val="22"/>
              </w:rPr>
              <w:t>Novavax</w:t>
            </w:r>
          </w:p>
        </w:tc>
        <w:tc>
          <w:tcPr>
            <w:tcW w:w="1701" w:type="dxa"/>
            <w:vAlign w:val="center"/>
          </w:tcPr>
          <w:p w14:paraId="7FA43D3A" w14:textId="77777777" w:rsidR="0066389F" w:rsidRPr="001133F3" w:rsidRDefault="0066389F" w:rsidP="0066389F">
            <w:pPr>
              <w:pStyle w:val="Other0"/>
              <w:spacing w:after="0" w:line="233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133F3">
              <w:rPr>
                <w:rFonts w:asciiTheme="minorHAnsi" w:hAnsiTheme="minorHAnsi" w:cstheme="minorHAnsi"/>
                <w:sz w:val="22"/>
                <w:szCs w:val="22"/>
              </w:rPr>
              <w:t>Rekombinantní, adjuvovaná</w:t>
            </w:r>
          </w:p>
        </w:tc>
        <w:tc>
          <w:tcPr>
            <w:tcW w:w="1418" w:type="dxa"/>
            <w:vAlign w:val="center"/>
          </w:tcPr>
          <w:p w14:paraId="19C686BD" w14:textId="77777777" w:rsidR="00EE592C" w:rsidRDefault="0066389F" w:rsidP="0066389F">
            <w:pPr>
              <w:pStyle w:val="Other0"/>
              <w:spacing w:after="0" w:line="233" w:lineRule="auto"/>
              <w:ind w:lef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133F3">
              <w:rPr>
                <w:rFonts w:asciiTheme="minorHAnsi" w:hAnsiTheme="minorHAnsi" w:cstheme="minorHAnsi"/>
                <w:sz w:val="22"/>
                <w:szCs w:val="22"/>
              </w:rPr>
              <w:t>2 dávky</w:t>
            </w:r>
          </w:p>
          <w:p w14:paraId="5ACDD4E0" w14:textId="7F43AEF4" w:rsidR="0066389F" w:rsidRPr="001133F3" w:rsidRDefault="00EE592C" w:rsidP="00EE592C">
            <w:pPr>
              <w:pStyle w:val="Other0"/>
              <w:spacing w:after="0" w:line="233" w:lineRule="auto"/>
              <w:ind w:lef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66389F" w:rsidRPr="001133F3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66389F" w:rsidRPr="001133F3">
              <w:rPr>
                <w:rFonts w:asciiTheme="minorHAnsi" w:hAnsiTheme="minorHAnsi" w:cstheme="minorHAnsi"/>
                <w:sz w:val="22"/>
                <w:szCs w:val="22"/>
              </w:rPr>
              <w:t>21 dní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275" w:type="dxa"/>
            <w:vAlign w:val="center"/>
          </w:tcPr>
          <w:p w14:paraId="256C8A7D" w14:textId="77777777" w:rsidR="0066389F" w:rsidRPr="001133F3" w:rsidRDefault="0066389F" w:rsidP="0066389F">
            <w:pPr>
              <w:pStyle w:val="Other0"/>
              <w:spacing w:after="0" w:line="233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133F3">
              <w:rPr>
                <w:rFonts w:asciiTheme="minorHAnsi" w:hAnsiTheme="minorHAnsi" w:cstheme="minorHAnsi"/>
                <w:sz w:val="22"/>
                <w:szCs w:val="22"/>
              </w:rPr>
              <w:t>1 dávka à 0,5 ml i.m.</w:t>
            </w:r>
          </w:p>
        </w:tc>
        <w:tc>
          <w:tcPr>
            <w:tcW w:w="1546" w:type="dxa"/>
            <w:vAlign w:val="center"/>
          </w:tcPr>
          <w:p w14:paraId="5009B394" w14:textId="77777777" w:rsidR="0066389F" w:rsidRPr="001133F3" w:rsidRDefault="0066389F" w:rsidP="0066389F">
            <w:pPr>
              <w:pStyle w:val="Other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133F3">
              <w:rPr>
                <w:rFonts w:asciiTheme="minorHAnsi" w:hAnsiTheme="minorHAnsi" w:cstheme="minorHAnsi"/>
                <w:sz w:val="22"/>
                <w:szCs w:val="22"/>
              </w:rPr>
              <w:t>Fáze I: Austrálie</w:t>
            </w:r>
          </w:p>
          <w:p w14:paraId="1F3B0A43" w14:textId="77777777" w:rsidR="0066389F" w:rsidRPr="001133F3" w:rsidRDefault="0066389F" w:rsidP="0066389F">
            <w:pPr>
              <w:pStyle w:val="Other0"/>
              <w:spacing w:after="0" w:line="23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133F3">
              <w:rPr>
                <w:rFonts w:asciiTheme="minorHAnsi" w:hAnsiTheme="minorHAnsi" w:cstheme="minorHAnsi"/>
                <w:sz w:val="22"/>
                <w:szCs w:val="22"/>
              </w:rPr>
              <w:t>Fáze II: USA, Austrálie</w:t>
            </w:r>
          </w:p>
          <w:p w14:paraId="3705697B" w14:textId="77777777" w:rsidR="0066389F" w:rsidRPr="001133F3" w:rsidRDefault="0066389F" w:rsidP="0066389F">
            <w:pPr>
              <w:pStyle w:val="Other0"/>
              <w:spacing w:after="0" w:line="23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133F3">
              <w:rPr>
                <w:rFonts w:asciiTheme="minorHAnsi" w:hAnsiTheme="minorHAnsi" w:cstheme="minorHAnsi"/>
                <w:sz w:val="22"/>
                <w:szCs w:val="22"/>
              </w:rPr>
              <w:t>Jižní Afrika</w:t>
            </w:r>
          </w:p>
          <w:p w14:paraId="65AC75EA" w14:textId="77777777" w:rsidR="0066389F" w:rsidRPr="001133F3" w:rsidRDefault="0066389F" w:rsidP="0066389F">
            <w:pPr>
              <w:pStyle w:val="Other0"/>
              <w:spacing w:after="0" w:line="23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133F3">
              <w:rPr>
                <w:rFonts w:asciiTheme="minorHAnsi" w:hAnsiTheme="minorHAnsi" w:cstheme="minorHAnsi"/>
                <w:sz w:val="22"/>
                <w:szCs w:val="22"/>
              </w:rPr>
              <w:t>Fáze III: UK</w:t>
            </w:r>
          </w:p>
        </w:tc>
        <w:tc>
          <w:tcPr>
            <w:tcW w:w="1998" w:type="dxa"/>
            <w:vAlign w:val="center"/>
          </w:tcPr>
          <w:p w14:paraId="243470DE" w14:textId="6190A780" w:rsidR="0066389F" w:rsidRPr="001133F3" w:rsidRDefault="00E62D11" w:rsidP="0066389F">
            <w:pPr>
              <w:pStyle w:val="Other0"/>
              <w:spacing w:after="0" w:line="233" w:lineRule="auto"/>
              <w:ind w:left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počátek roku 2021</w:t>
            </w:r>
          </w:p>
        </w:tc>
      </w:tr>
      <w:tr w:rsidR="00F36934" w14:paraId="419DE818" w14:textId="77777777" w:rsidTr="004F2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06F125EE" w14:textId="60222CC0" w:rsidR="0066389F" w:rsidRPr="001133F3" w:rsidRDefault="00A24D06" w:rsidP="0066389F">
            <w:pPr>
              <w:pStyle w:val="Other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CureV</w:t>
            </w:r>
            <w:r w:rsidR="0066389F" w:rsidRPr="001133F3">
              <w:rPr>
                <w:rFonts w:asciiTheme="minorHAnsi" w:hAnsiTheme="minorHAnsi" w:cstheme="minorHAnsi"/>
                <w:sz w:val="22"/>
                <w:szCs w:val="22"/>
              </w:rPr>
              <w:t>ac</w:t>
            </w:r>
          </w:p>
        </w:tc>
        <w:tc>
          <w:tcPr>
            <w:tcW w:w="1701" w:type="dxa"/>
            <w:vAlign w:val="center"/>
          </w:tcPr>
          <w:p w14:paraId="6C48DC6C" w14:textId="7F14DDDD" w:rsidR="0066389F" w:rsidRPr="001133F3" w:rsidRDefault="00C9452B" w:rsidP="0066389F">
            <w:pPr>
              <w:pStyle w:val="Other0"/>
              <w:spacing w:after="0" w:line="233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Genová, </w:t>
            </w:r>
            <w:r w:rsidR="0066389F" w:rsidRPr="001133F3">
              <w:rPr>
                <w:rFonts w:asciiTheme="minorHAnsi" w:hAnsiTheme="minorHAnsi" w:cstheme="minorHAnsi"/>
                <w:sz w:val="22"/>
                <w:szCs w:val="22"/>
              </w:rPr>
              <w:t>mRNA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6389F" w:rsidRPr="001133F3">
              <w:rPr>
                <w:rFonts w:asciiTheme="minorHAnsi" w:hAnsiTheme="minorHAnsi" w:cstheme="minorHAnsi"/>
                <w:sz w:val="22"/>
                <w:szCs w:val="22"/>
              </w:rPr>
              <w:t xml:space="preserve"> obalená lipidovými nanočásticemi</w:t>
            </w:r>
          </w:p>
        </w:tc>
        <w:tc>
          <w:tcPr>
            <w:tcW w:w="1418" w:type="dxa"/>
            <w:vAlign w:val="center"/>
          </w:tcPr>
          <w:p w14:paraId="14C2E7FD" w14:textId="77777777" w:rsidR="00C9452B" w:rsidRDefault="0066389F" w:rsidP="0066389F">
            <w:pPr>
              <w:pStyle w:val="Other0"/>
              <w:spacing w:after="0" w:line="233" w:lineRule="auto"/>
              <w:ind w:lef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133F3">
              <w:rPr>
                <w:rFonts w:asciiTheme="minorHAnsi" w:hAnsiTheme="minorHAnsi" w:cstheme="minorHAnsi"/>
                <w:sz w:val="22"/>
                <w:szCs w:val="22"/>
              </w:rPr>
              <w:t>2 dávky</w:t>
            </w:r>
          </w:p>
          <w:p w14:paraId="423D0795" w14:textId="7E4913E2" w:rsidR="0066389F" w:rsidRPr="001133F3" w:rsidRDefault="00C9452B" w:rsidP="00C9452B">
            <w:pPr>
              <w:pStyle w:val="Other0"/>
              <w:spacing w:after="0" w:line="233" w:lineRule="auto"/>
              <w:ind w:lef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66389F" w:rsidRPr="001133F3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66389F" w:rsidRPr="001133F3">
              <w:rPr>
                <w:rFonts w:asciiTheme="minorHAnsi" w:hAnsiTheme="minorHAnsi" w:cstheme="minorHAnsi"/>
                <w:sz w:val="22"/>
                <w:szCs w:val="22"/>
              </w:rPr>
              <w:t>28 dní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275" w:type="dxa"/>
            <w:vAlign w:val="center"/>
          </w:tcPr>
          <w:p w14:paraId="3A58ABC8" w14:textId="14A88DE0" w:rsidR="0066389F" w:rsidRPr="001133F3" w:rsidRDefault="0066389F" w:rsidP="00C9452B">
            <w:pPr>
              <w:pStyle w:val="Other0"/>
              <w:spacing w:after="0" w:line="233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133F3">
              <w:rPr>
                <w:rFonts w:asciiTheme="minorHAnsi" w:hAnsiTheme="minorHAnsi" w:cstheme="minorHAnsi"/>
                <w:sz w:val="22"/>
                <w:szCs w:val="22"/>
              </w:rPr>
              <w:t>1 dávka 0,6</w:t>
            </w:r>
            <w:r w:rsidR="00C9452B">
              <w:rPr>
                <w:rFonts w:asciiTheme="minorHAnsi" w:hAnsiTheme="minorHAnsi" w:cstheme="minorHAnsi"/>
                <w:sz w:val="22"/>
                <w:szCs w:val="22"/>
              </w:rPr>
              <w:t xml:space="preserve"> ml,</w:t>
            </w:r>
            <w:r w:rsidRPr="001133F3">
              <w:rPr>
                <w:rFonts w:asciiTheme="minorHAnsi" w:hAnsiTheme="minorHAnsi" w:cstheme="minorHAnsi"/>
                <w:sz w:val="22"/>
                <w:szCs w:val="22"/>
              </w:rPr>
              <w:t xml:space="preserve"> i.m.</w:t>
            </w:r>
          </w:p>
        </w:tc>
        <w:tc>
          <w:tcPr>
            <w:tcW w:w="1546" w:type="dxa"/>
            <w:vAlign w:val="center"/>
          </w:tcPr>
          <w:p w14:paraId="76C2EA86" w14:textId="77777777" w:rsidR="0066389F" w:rsidRPr="001133F3" w:rsidRDefault="0066389F" w:rsidP="0066389F">
            <w:pPr>
              <w:pStyle w:val="Other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133F3">
              <w:rPr>
                <w:rFonts w:asciiTheme="minorHAnsi" w:hAnsiTheme="minorHAnsi" w:cstheme="minorHAnsi"/>
                <w:sz w:val="22"/>
                <w:szCs w:val="22"/>
              </w:rPr>
              <w:t>Fáze I: Belgie, SRN</w:t>
            </w:r>
          </w:p>
          <w:p w14:paraId="2EAC12D6" w14:textId="77777777" w:rsidR="0066389F" w:rsidRPr="001133F3" w:rsidRDefault="0066389F" w:rsidP="0066389F">
            <w:pPr>
              <w:pStyle w:val="Other0"/>
              <w:spacing w:after="0" w:line="23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133F3">
              <w:rPr>
                <w:rFonts w:asciiTheme="minorHAnsi" w:hAnsiTheme="minorHAnsi" w:cstheme="minorHAnsi"/>
                <w:sz w:val="22"/>
                <w:szCs w:val="22"/>
              </w:rPr>
              <w:t>Fáze II: Peru, Panama</w:t>
            </w:r>
          </w:p>
        </w:tc>
        <w:tc>
          <w:tcPr>
            <w:tcW w:w="1998" w:type="dxa"/>
            <w:vAlign w:val="center"/>
          </w:tcPr>
          <w:p w14:paraId="1A5B74D6" w14:textId="77777777" w:rsidR="0066389F" w:rsidRPr="001133F3" w:rsidRDefault="0066389F" w:rsidP="0066389F">
            <w:pPr>
              <w:pStyle w:val="Other0"/>
              <w:spacing w:after="0" w:line="240" w:lineRule="auto"/>
              <w:ind w:firstLin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133F3">
              <w:rPr>
                <w:rFonts w:asciiTheme="minorHAnsi" w:hAnsiTheme="minorHAnsi" w:cstheme="minorHAnsi"/>
                <w:sz w:val="22"/>
                <w:szCs w:val="22"/>
              </w:rPr>
              <w:t>Není známo</w:t>
            </w:r>
          </w:p>
        </w:tc>
      </w:tr>
      <w:tr w:rsidR="0066389F" w14:paraId="12A6CD7C" w14:textId="77777777" w:rsidTr="004F20D7">
        <w:trPr>
          <w:trHeight w:hRule="exact"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6"/>
          </w:tcPr>
          <w:p w14:paraId="61DDBCF4" w14:textId="6101C863" w:rsidR="0066389F" w:rsidRDefault="0066389F" w:rsidP="00F15C4B">
            <w:pPr>
              <w:pStyle w:val="Other0"/>
              <w:spacing w:after="0" w:line="240" w:lineRule="auto"/>
              <w:rPr>
                <w:sz w:val="19"/>
                <w:szCs w:val="19"/>
              </w:rPr>
            </w:pPr>
            <w:bookmarkStart w:id="4" w:name="bookmark30"/>
            <w:r>
              <w:rPr>
                <w:rFonts w:ascii="Calibri" w:hAnsi="Calibri"/>
                <w:i/>
                <w:iCs/>
                <w:sz w:val="19"/>
                <w:szCs w:val="19"/>
              </w:rPr>
              <w:t>*Poznámka: Předběžné informace odpovídající současným znalostem</w:t>
            </w:r>
            <w:bookmarkEnd w:id="4"/>
          </w:p>
        </w:tc>
      </w:tr>
    </w:tbl>
    <w:p w14:paraId="431CB30F" w14:textId="58F771B9" w:rsidR="00F468E9" w:rsidRDefault="00F468E9" w:rsidP="00C93F00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Segoe UI"/>
        </w:rPr>
      </w:pPr>
    </w:p>
    <w:p w14:paraId="48DB7D2E" w14:textId="42A724A3" w:rsidR="001E422B" w:rsidRDefault="001E422B">
      <w:pPr>
        <w:rPr>
          <w:rFonts w:ascii="Calibri" w:hAnsi="Calibri" w:cs="Segoe UI"/>
          <w:sz w:val="24"/>
          <w:szCs w:val="24"/>
          <w:lang w:eastAsia="cs-CZ"/>
        </w:rPr>
      </w:pPr>
      <w:r>
        <w:rPr>
          <w:rFonts w:ascii="Calibri" w:hAnsi="Calibri" w:cs="Segoe UI"/>
        </w:rPr>
        <w:br w:type="page"/>
      </w:r>
    </w:p>
    <w:p w14:paraId="6651AA6B" w14:textId="56CC36BD" w:rsidR="00204A5C" w:rsidRPr="00254CE0" w:rsidRDefault="00254CE0" w:rsidP="00254CE0">
      <w:pPr>
        <w:pStyle w:val="Nadpis1"/>
        <w:rPr>
          <w:rStyle w:val="eop"/>
        </w:rPr>
      </w:pPr>
      <w:bookmarkStart w:id="5" w:name="_Toc58138515"/>
      <w:r w:rsidRPr="00254CE0">
        <w:rPr>
          <w:rStyle w:val="eop"/>
        </w:rPr>
        <w:lastRenderedPageBreak/>
        <w:t>3.</w:t>
      </w:r>
      <w:r w:rsidR="005D597E">
        <w:rPr>
          <w:rStyle w:val="eop"/>
        </w:rPr>
        <w:t xml:space="preserve"> </w:t>
      </w:r>
      <w:r w:rsidRPr="00254CE0">
        <w:rPr>
          <w:rStyle w:val="eop"/>
        </w:rPr>
        <w:t>ORGANIZACE OČKOVÁNÍ</w:t>
      </w:r>
      <w:bookmarkEnd w:id="5"/>
    </w:p>
    <w:p w14:paraId="2211A21A" w14:textId="639ED807" w:rsidR="00C93F00" w:rsidRPr="00F545A1" w:rsidRDefault="00C93F00" w:rsidP="00204A5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cs="Calibri"/>
        </w:rPr>
      </w:pPr>
      <w:r w:rsidRPr="00F545A1">
        <w:rPr>
          <w:rStyle w:val="normaltextrun"/>
        </w:rPr>
        <w:t> </w:t>
      </w:r>
    </w:p>
    <w:p w14:paraId="2F4C745D" w14:textId="77777777" w:rsidR="00287BB7" w:rsidRDefault="004215ED" w:rsidP="00C93F0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Vzhledem k tomu, že se jedná o očkování v průběhu pandemie, s využitím pandemické vakcíny, která má svá specifika, je nezbytné zajistit </w:t>
      </w:r>
      <w:r w:rsidRPr="000008E1">
        <w:rPr>
          <w:rStyle w:val="normaltextrun"/>
          <w:rFonts w:ascii="Calibri" w:hAnsi="Calibri" w:cs="Calibri"/>
          <w:b/>
          <w:bCs/>
        </w:rPr>
        <w:t>v prvních fází centralizovaný přístup</w:t>
      </w:r>
      <w:r>
        <w:rPr>
          <w:rStyle w:val="normaltextrun"/>
          <w:rFonts w:ascii="Calibri" w:hAnsi="Calibri" w:cs="Calibri"/>
        </w:rPr>
        <w:t xml:space="preserve">. </w:t>
      </w:r>
      <w:r w:rsidR="009C711D">
        <w:rPr>
          <w:rStyle w:val="normaltextrun"/>
          <w:rFonts w:ascii="Calibri" w:hAnsi="Calibri" w:cs="Calibri"/>
        </w:rPr>
        <w:t>Důvodem jsou speciální přepravní a skladovací požadavky</w:t>
      </w:r>
      <w:r w:rsidR="00187D6B">
        <w:rPr>
          <w:rStyle w:val="normaltextrun"/>
          <w:rFonts w:ascii="Calibri" w:hAnsi="Calibri" w:cs="Calibri"/>
        </w:rPr>
        <w:t>, dodávky ve vícedávkových baleních</w:t>
      </w:r>
      <w:r w:rsidR="009C711D">
        <w:rPr>
          <w:rStyle w:val="normaltextrun"/>
          <w:rFonts w:ascii="Calibri" w:hAnsi="Calibri" w:cs="Calibri"/>
        </w:rPr>
        <w:t xml:space="preserve">. </w:t>
      </w:r>
    </w:p>
    <w:p w14:paraId="32A2CCBB" w14:textId="67F7FA5B" w:rsidR="004215ED" w:rsidRDefault="00EC4F3A" w:rsidP="00C93F0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V prvních fázích centralizovaného o</w:t>
      </w:r>
      <w:r w:rsidR="004215ED">
        <w:rPr>
          <w:rStyle w:val="normaltextrun"/>
          <w:rFonts w:ascii="Calibri" w:hAnsi="Calibri" w:cs="Calibri"/>
        </w:rPr>
        <w:t xml:space="preserve">čkování se </w:t>
      </w:r>
      <w:r>
        <w:rPr>
          <w:rStyle w:val="normaltextrun"/>
          <w:rFonts w:ascii="Calibri" w:hAnsi="Calibri" w:cs="Calibri"/>
        </w:rPr>
        <w:t xml:space="preserve">proto </w:t>
      </w:r>
      <w:r w:rsidR="00A114BA">
        <w:rPr>
          <w:rStyle w:val="normaltextrun"/>
          <w:rFonts w:ascii="Calibri" w:hAnsi="Calibri" w:cs="Calibri"/>
        </w:rPr>
        <w:t xml:space="preserve">očkování </w:t>
      </w:r>
      <w:r w:rsidR="004215ED">
        <w:rPr>
          <w:rStyle w:val="normaltextrun"/>
          <w:rFonts w:ascii="Calibri" w:hAnsi="Calibri" w:cs="Calibri"/>
        </w:rPr>
        <w:t xml:space="preserve">bude provádět v očkovacích centrech fakultních nemocnic a </w:t>
      </w:r>
      <w:r w:rsidR="00897DCE">
        <w:rPr>
          <w:rStyle w:val="normaltextrun"/>
          <w:rFonts w:ascii="Calibri" w:hAnsi="Calibri" w:cs="Calibri"/>
        </w:rPr>
        <w:t>n</w:t>
      </w:r>
      <w:r w:rsidR="00A114BA">
        <w:rPr>
          <w:rStyle w:val="normaltextrun"/>
          <w:rFonts w:ascii="Calibri" w:hAnsi="Calibri" w:cs="Calibri"/>
        </w:rPr>
        <w:t>emocnic</w:t>
      </w:r>
      <w:r w:rsidR="00897DCE">
        <w:rPr>
          <w:rStyle w:val="normaltextrun"/>
          <w:rFonts w:ascii="Calibri" w:hAnsi="Calibri" w:cs="Calibri"/>
        </w:rPr>
        <w:t xml:space="preserve"> v jednotlivých krajích</w:t>
      </w:r>
      <w:r w:rsidR="004215ED">
        <w:rPr>
          <w:rStyle w:val="normaltextrun"/>
          <w:rFonts w:ascii="Calibri" w:hAnsi="Calibri" w:cs="Calibri"/>
        </w:rPr>
        <w:t xml:space="preserve">, </w:t>
      </w:r>
      <w:r w:rsidR="006653FE">
        <w:rPr>
          <w:rStyle w:val="normaltextrun"/>
          <w:rFonts w:ascii="Calibri" w:hAnsi="Calibri" w:cs="Calibri"/>
        </w:rPr>
        <w:t xml:space="preserve">v očkovacích </w:t>
      </w:r>
      <w:r>
        <w:rPr>
          <w:rStyle w:val="normaltextrun"/>
          <w:rFonts w:ascii="Calibri" w:hAnsi="Calibri" w:cs="Calibri"/>
        </w:rPr>
        <w:t>centrech zdravotních ústavů</w:t>
      </w:r>
      <w:r w:rsidR="006653FE">
        <w:rPr>
          <w:rStyle w:val="normaltextrun"/>
          <w:rFonts w:ascii="Calibri" w:hAnsi="Calibri" w:cs="Calibri"/>
        </w:rPr>
        <w:t xml:space="preserve"> a v očkovacím centru Státního zdravotního ústavu</w:t>
      </w:r>
      <w:r>
        <w:rPr>
          <w:rStyle w:val="normaltextrun"/>
          <w:rFonts w:ascii="Calibri" w:hAnsi="Calibri" w:cs="Calibri"/>
        </w:rPr>
        <w:t xml:space="preserve">, </w:t>
      </w:r>
      <w:r w:rsidR="004215ED">
        <w:rPr>
          <w:rStyle w:val="normaltextrun"/>
          <w:rFonts w:ascii="Calibri" w:hAnsi="Calibri" w:cs="Calibri"/>
        </w:rPr>
        <w:t xml:space="preserve">kterým mohou být přiděleny také </w:t>
      </w:r>
      <w:r w:rsidR="00A114BA">
        <w:rPr>
          <w:rStyle w:val="normaltextrun"/>
          <w:rFonts w:ascii="Calibri" w:hAnsi="Calibri" w:cs="Calibri"/>
        </w:rPr>
        <w:t>mobilní očkovací týmy</w:t>
      </w:r>
      <w:r w:rsidR="004215ED">
        <w:rPr>
          <w:rStyle w:val="normaltextrun"/>
          <w:rFonts w:ascii="Calibri" w:hAnsi="Calibri" w:cs="Calibri"/>
        </w:rPr>
        <w:t xml:space="preserve">. </w:t>
      </w:r>
      <w:r w:rsidR="00A114BA">
        <w:rPr>
          <w:rStyle w:val="normaltextrun"/>
          <w:rFonts w:ascii="Calibri" w:hAnsi="Calibri" w:cs="Calibri"/>
        </w:rPr>
        <w:t xml:space="preserve">Každá </w:t>
      </w:r>
      <w:r w:rsidR="000720BC">
        <w:rPr>
          <w:rStyle w:val="normaltextrun"/>
          <w:rFonts w:ascii="Calibri" w:hAnsi="Calibri" w:cs="Calibri"/>
        </w:rPr>
        <w:t xml:space="preserve">vybraná </w:t>
      </w:r>
      <w:r w:rsidR="00A114BA">
        <w:rPr>
          <w:rStyle w:val="normaltextrun"/>
          <w:rFonts w:ascii="Calibri" w:hAnsi="Calibri" w:cs="Calibri"/>
        </w:rPr>
        <w:t xml:space="preserve">nemocnice </w:t>
      </w:r>
      <w:r w:rsidR="001A0C2C">
        <w:rPr>
          <w:rStyle w:val="normaltextrun"/>
          <w:rFonts w:ascii="Calibri" w:hAnsi="Calibri" w:cs="Calibri"/>
        </w:rPr>
        <w:t xml:space="preserve">zřídí a bude provozovat </w:t>
      </w:r>
      <w:r w:rsidR="00A114BA">
        <w:rPr>
          <w:rStyle w:val="normaltextrun"/>
          <w:rFonts w:ascii="Calibri" w:hAnsi="Calibri" w:cs="Calibri"/>
        </w:rPr>
        <w:t>očkovací centrum</w:t>
      </w:r>
      <w:r w:rsidR="001A0C2C">
        <w:rPr>
          <w:rStyle w:val="normaltextrun"/>
          <w:rFonts w:ascii="Calibri" w:hAnsi="Calibri" w:cs="Calibri"/>
        </w:rPr>
        <w:t xml:space="preserve">. </w:t>
      </w:r>
      <w:r w:rsidR="00A114BA">
        <w:rPr>
          <w:rStyle w:val="normaltextrun"/>
          <w:rFonts w:ascii="Calibri" w:hAnsi="Calibri" w:cs="Calibri"/>
        </w:rPr>
        <w:t>Příprava a provádění může být podpořeno dalšími externími subjekty, jako jsou humanitární organizace, ozbrojené síly, policie, hasiči</w:t>
      </w:r>
      <w:r w:rsidR="001A0C2C">
        <w:rPr>
          <w:rStyle w:val="normaltextrun"/>
          <w:rFonts w:ascii="Calibri" w:hAnsi="Calibri" w:cs="Calibri"/>
        </w:rPr>
        <w:t>.</w:t>
      </w:r>
      <w:r w:rsidR="009A1360">
        <w:rPr>
          <w:rStyle w:val="normaltextrun"/>
          <w:rFonts w:ascii="Calibri" w:hAnsi="Calibri" w:cs="Calibri"/>
        </w:rPr>
        <w:t xml:space="preserve"> Jakmile bude dostupné dostatečné množství očkovacích látek a skladovací podmínky to umožní, bude cílem zavést systém očkování do ordinací praktických lékařů</w:t>
      </w:r>
      <w:r w:rsidR="00EA2100">
        <w:rPr>
          <w:rStyle w:val="normaltextrun"/>
          <w:rFonts w:ascii="Calibri" w:hAnsi="Calibri" w:cs="Calibri"/>
        </w:rPr>
        <w:t xml:space="preserve"> a lékařů zajišťujících pracovně lékařské služby ve firmách.</w:t>
      </w:r>
    </w:p>
    <w:p w14:paraId="5226514A" w14:textId="77777777" w:rsidR="00A114BA" w:rsidRPr="00AF667A" w:rsidRDefault="00A114BA" w:rsidP="00E53638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Segoe UI"/>
        </w:rPr>
      </w:pPr>
      <w:r w:rsidRPr="00AF667A">
        <w:rPr>
          <w:rStyle w:val="normaltextrun"/>
          <w:rFonts w:ascii="Calibri" w:hAnsi="Calibri" w:cs="Calibri"/>
        </w:rPr>
        <w:t>Očkování bude </w:t>
      </w:r>
      <w:r>
        <w:rPr>
          <w:rStyle w:val="normaltextrun"/>
          <w:rFonts w:ascii="Calibri" w:hAnsi="Calibri" w:cs="Calibri"/>
        </w:rPr>
        <w:t>realizováno a zajištěno</w:t>
      </w:r>
      <w:r w:rsidRPr="00AF667A">
        <w:rPr>
          <w:rStyle w:val="normaltextrun"/>
          <w:rFonts w:ascii="Calibri" w:hAnsi="Calibri" w:cs="Calibri"/>
        </w:rPr>
        <w:t>:</w:t>
      </w:r>
      <w:r w:rsidRPr="00AF667A">
        <w:rPr>
          <w:rStyle w:val="eop"/>
          <w:rFonts w:ascii="Calibri" w:hAnsi="Calibri" w:cs="Calibri"/>
        </w:rPr>
        <w:t> </w:t>
      </w:r>
    </w:p>
    <w:p w14:paraId="6829F375" w14:textId="09F24810" w:rsidR="00D35A25" w:rsidRPr="00AF667A" w:rsidRDefault="000008E1" w:rsidP="00D35A25">
      <w:pPr>
        <w:pStyle w:val="paragraph"/>
        <w:numPr>
          <w:ilvl w:val="0"/>
          <w:numId w:val="1"/>
        </w:numPr>
        <w:spacing w:before="0" w:beforeAutospacing="0" w:after="0" w:afterAutospacing="0"/>
        <w:ind w:left="405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v</w:t>
      </w:r>
      <w:r w:rsidR="00A96111">
        <w:rPr>
          <w:rStyle w:val="normaltextrun"/>
          <w:rFonts w:ascii="Calibri" w:hAnsi="Calibri" w:cs="Calibri"/>
        </w:rPr>
        <w:t> </w:t>
      </w:r>
      <w:r w:rsidR="00837C75">
        <w:rPr>
          <w:rStyle w:val="normaltextrun"/>
          <w:rFonts w:ascii="Calibri" w:hAnsi="Calibri" w:cs="Calibri"/>
        </w:rPr>
        <w:t>nemocnicích,</w:t>
      </w:r>
    </w:p>
    <w:p w14:paraId="4BE85EFA" w14:textId="33204F90" w:rsidR="00D35A25" w:rsidRPr="00AF667A" w:rsidRDefault="000008E1" w:rsidP="00D35A25">
      <w:pPr>
        <w:pStyle w:val="paragraph"/>
        <w:numPr>
          <w:ilvl w:val="0"/>
          <w:numId w:val="1"/>
        </w:numPr>
        <w:spacing w:before="0" w:beforeAutospacing="0" w:after="0" w:afterAutospacing="0"/>
        <w:ind w:left="405" w:firstLine="0"/>
        <w:jc w:val="both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v</w:t>
      </w:r>
      <w:r w:rsidR="00D35A25">
        <w:rPr>
          <w:rStyle w:val="normaltextrun"/>
          <w:rFonts w:ascii="Calibri" w:hAnsi="Calibri" w:cs="Calibri"/>
        </w:rPr>
        <w:t xml:space="preserve"> očkovacích</w:t>
      </w:r>
      <w:r w:rsidR="00D35A25" w:rsidRPr="00AF667A">
        <w:rPr>
          <w:rStyle w:val="normaltextrun"/>
          <w:rFonts w:ascii="Calibri" w:hAnsi="Calibri" w:cs="Calibri"/>
        </w:rPr>
        <w:t xml:space="preserve"> centrech zdravotních ústavů</w:t>
      </w:r>
      <w:r w:rsidR="00D35A25">
        <w:rPr>
          <w:rStyle w:val="normaltextrun"/>
          <w:rFonts w:ascii="Calibri" w:hAnsi="Calibri" w:cs="Calibri"/>
        </w:rPr>
        <w:t xml:space="preserve"> a Státního zdravotního </w:t>
      </w:r>
      <w:r w:rsidR="00A114BA">
        <w:rPr>
          <w:rStyle w:val="normaltextrun"/>
          <w:rFonts w:ascii="Calibri" w:hAnsi="Calibri" w:cs="Calibri"/>
        </w:rPr>
        <w:t>ústavu</w:t>
      </w:r>
      <w:r w:rsidR="00D35A25" w:rsidRPr="00AF667A">
        <w:rPr>
          <w:rStyle w:val="normaltextrun"/>
          <w:rFonts w:ascii="Calibri" w:hAnsi="Calibri" w:cs="Calibri"/>
        </w:rPr>
        <w:t> </w:t>
      </w:r>
    </w:p>
    <w:p w14:paraId="0B8F7E83" w14:textId="01889321" w:rsidR="00C93F00" w:rsidRPr="00AF667A" w:rsidRDefault="000008E1" w:rsidP="00C93F00">
      <w:pPr>
        <w:pStyle w:val="paragraph"/>
        <w:numPr>
          <w:ilvl w:val="0"/>
          <w:numId w:val="1"/>
        </w:numPr>
        <w:spacing w:before="0" w:beforeAutospacing="0" w:after="0" w:afterAutospacing="0"/>
        <w:ind w:left="405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v</w:t>
      </w:r>
      <w:r w:rsidR="00C93F00" w:rsidRPr="00AF667A">
        <w:rPr>
          <w:rStyle w:val="normaltextrun"/>
          <w:rFonts w:ascii="Calibri" w:hAnsi="Calibri" w:cs="Calibri"/>
        </w:rPr>
        <w:t xml:space="preserve"> ordinacích </w:t>
      </w:r>
      <w:r w:rsidR="00605534">
        <w:rPr>
          <w:rStyle w:val="normaltextrun"/>
          <w:rFonts w:ascii="Calibri" w:hAnsi="Calibri" w:cs="Calibri"/>
        </w:rPr>
        <w:t xml:space="preserve">všeobecných </w:t>
      </w:r>
      <w:r w:rsidR="00C93F00" w:rsidRPr="00AF667A">
        <w:rPr>
          <w:rStyle w:val="normaltextrun"/>
          <w:rFonts w:ascii="Calibri" w:hAnsi="Calibri" w:cs="Calibri"/>
        </w:rPr>
        <w:t>praktických lékařů</w:t>
      </w:r>
      <w:r w:rsidR="00605534">
        <w:rPr>
          <w:rStyle w:val="normaltextrun"/>
          <w:rFonts w:ascii="Calibri" w:hAnsi="Calibri" w:cs="Calibri"/>
        </w:rPr>
        <w:t xml:space="preserve">, lékařů poskytujících pracovně- lékařské služby </w:t>
      </w:r>
      <w:r w:rsidR="00C93F00" w:rsidRPr="00AF667A">
        <w:rPr>
          <w:rStyle w:val="normaltextrun"/>
          <w:rFonts w:ascii="Calibri" w:hAnsi="Calibri" w:cs="Calibri"/>
        </w:rPr>
        <w:t> </w:t>
      </w:r>
      <w:r w:rsidR="00C93F00" w:rsidRPr="00AF667A">
        <w:rPr>
          <w:rStyle w:val="eop"/>
          <w:rFonts w:ascii="Calibri" w:hAnsi="Calibri" w:cs="Calibri"/>
        </w:rPr>
        <w:t> </w:t>
      </w:r>
    </w:p>
    <w:p w14:paraId="15E21220" w14:textId="59451763" w:rsidR="00C93F00" w:rsidRPr="00AF667A" w:rsidRDefault="000008E1" w:rsidP="00C93F00">
      <w:pPr>
        <w:pStyle w:val="paragraph"/>
        <w:numPr>
          <w:ilvl w:val="0"/>
          <w:numId w:val="1"/>
        </w:numPr>
        <w:spacing w:before="0" w:beforeAutospacing="0" w:after="0" w:afterAutospacing="0"/>
        <w:ind w:left="405" w:firstLine="0"/>
        <w:jc w:val="both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v</w:t>
      </w:r>
      <w:r w:rsidR="00837C75">
        <w:rPr>
          <w:rStyle w:val="normaltextrun"/>
          <w:rFonts w:ascii="Calibri" w:hAnsi="Calibri" w:cs="Calibri"/>
        </w:rPr>
        <w:t> ordinacích dalších ambulantních poskytovatelů zdravotních služeb,</w:t>
      </w:r>
      <w:r w:rsidR="005A3EEF">
        <w:rPr>
          <w:rStyle w:val="normaltextrun"/>
          <w:rFonts w:ascii="Calibri" w:hAnsi="Calibri" w:cs="Calibri"/>
        </w:rPr>
        <w:t xml:space="preserve"> </w:t>
      </w:r>
      <w:r w:rsidR="00605534">
        <w:rPr>
          <w:rStyle w:val="eop"/>
          <w:rFonts w:ascii="Calibri" w:hAnsi="Calibri" w:cs="Calibri"/>
        </w:rPr>
        <w:t xml:space="preserve">smluvních zařízení </w:t>
      </w:r>
      <w:r w:rsidR="00837C75">
        <w:rPr>
          <w:rStyle w:val="eop"/>
          <w:rFonts w:ascii="Calibri" w:hAnsi="Calibri" w:cs="Calibri"/>
        </w:rPr>
        <w:t>zdravotních pojišťoven,</w:t>
      </w:r>
    </w:p>
    <w:p w14:paraId="76695844" w14:textId="2903D550" w:rsidR="00A114BA" w:rsidRPr="00AF667A" w:rsidRDefault="000008E1" w:rsidP="00E53638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</w:t>
      </w:r>
      <w:r w:rsidR="00A114BA">
        <w:rPr>
          <w:rStyle w:val="normaltextrun"/>
          <w:rFonts w:ascii="Calibri" w:hAnsi="Calibri" w:cs="Calibri"/>
        </w:rPr>
        <w:t>rostřednictvím m</w:t>
      </w:r>
      <w:r w:rsidR="00A114BA" w:rsidRPr="00AF667A">
        <w:rPr>
          <w:rStyle w:val="normaltextrun"/>
          <w:rFonts w:ascii="Calibri" w:hAnsi="Calibri" w:cs="Calibri"/>
        </w:rPr>
        <w:t>obilní</w:t>
      </w:r>
      <w:r w:rsidR="00A114BA">
        <w:rPr>
          <w:rStyle w:val="normaltextrun"/>
          <w:rFonts w:ascii="Calibri" w:hAnsi="Calibri" w:cs="Calibri"/>
        </w:rPr>
        <w:t>ch</w:t>
      </w:r>
      <w:r w:rsidR="00A114BA" w:rsidRPr="00AF667A">
        <w:rPr>
          <w:rStyle w:val="normaltextrun"/>
          <w:rFonts w:ascii="Calibri" w:hAnsi="Calibri" w:cs="Calibri"/>
        </w:rPr>
        <w:t xml:space="preserve"> </w:t>
      </w:r>
      <w:r w:rsidR="00A114BA">
        <w:rPr>
          <w:rStyle w:val="normaltextrun"/>
          <w:rFonts w:ascii="Calibri" w:hAnsi="Calibri" w:cs="Calibri"/>
        </w:rPr>
        <w:t>očkovacích týmů</w:t>
      </w:r>
      <w:r w:rsidR="00E53638">
        <w:rPr>
          <w:rStyle w:val="normaltextrun"/>
          <w:rFonts w:ascii="Calibri" w:hAnsi="Calibri" w:cs="Calibri"/>
        </w:rPr>
        <w:t>.</w:t>
      </w:r>
      <w:r w:rsidR="00A114BA" w:rsidRPr="00AF667A">
        <w:rPr>
          <w:rStyle w:val="normaltextrun"/>
          <w:rFonts w:ascii="Calibri" w:hAnsi="Calibri" w:cs="Calibri"/>
        </w:rPr>
        <w:t xml:space="preserve"> </w:t>
      </w:r>
    </w:p>
    <w:p w14:paraId="3E0449EE" w14:textId="77777777" w:rsidR="00F667FC" w:rsidRPr="00AF667A" w:rsidRDefault="00F667FC" w:rsidP="00C93F00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Segoe UI"/>
        </w:rPr>
      </w:pPr>
    </w:p>
    <w:p w14:paraId="0ED4E0CC" w14:textId="67F3C23C" w:rsidR="00C93F00" w:rsidRPr="00254CE0" w:rsidRDefault="00254CE0" w:rsidP="00254CE0">
      <w:pPr>
        <w:pStyle w:val="Nadpis1"/>
        <w:rPr>
          <w:rStyle w:val="Zdraznnintenzivn"/>
          <w:b/>
          <w:bCs w:val="0"/>
          <w:caps/>
          <w:color w:val="FFFFFF" w:themeColor="background1"/>
          <w:spacing w:val="15"/>
        </w:rPr>
      </w:pPr>
      <w:r w:rsidRPr="00254CE0">
        <w:rPr>
          <w:rStyle w:val="eop"/>
        </w:rPr>
        <w:t> </w:t>
      </w:r>
      <w:bookmarkStart w:id="6" w:name="_Toc58138516"/>
      <w:r w:rsidRPr="00254CE0">
        <w:rPr>
          <w:rStyle w:val="eop"/>
        </w:rPr>
        <w:t>4.</w:t>
      </w:r>
      <w:r w:rsidR="005D597E">
        <w:rPr>
          <w:rStyle w:val="eop"/>
        </w:rPr>
        <w:t xml:space="preserve"> </w:t>
      </w:r>
      <w:r w:rsidRPr="00254CE0">
        <w:rPr>
          <w:rStyle w:val="eop"/>
        </w:rPr>
        <w:t>OČKOVACÍ SCHÉMA</w:t>
      </w:r>
      <w:bookmarkEnd w:id="6"/>
    </w:p>
    <w:p w14:paraId="0F477261" w14:textId="77777777" w:rsidR="00EE3361" w:rsidRDefault="00EE3361" w:rsidP="00C93F0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</w:rPr>
      </w:pPr>
    </w:p>
    <w:p w14:paraId="17C0B4CC" w14:textId="0EE200DA" w:rsidR="00C93F00" w:rsidRPr="00AF667A" w:rsidRDefault="00C93F00" w:rsidP="00C93F0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</w:rPr>
      </w:pPr>
      <w:r w:rsidRPr="00AF667A">
        <w:rPr>
          <w:rStyle w:val="normaltextrun"/>
          <w:rFonts w:ascii="Calibri" w:hAnsi="Calibri" w:cs="Calibri"/>
        </w:rPr>
        <w:t>Téměř většina současných kandidátních vakcín je hodnocena ve dvoudávkovém schématu. Proto se předpokládá aplikace dvou dávek s odstupem 28 – 30 dnů. Vakcíny by měly být aplikovány intramuskulárně, přednostně do deltového svalu nedominantní paže. Výjimku tvoří vakcína firmy Johnson&amp;Johnson, která je hodnocena v jednodávkovém schématu. Aplikace je shodná, intramuskulární do deltového svalu.</w:t>
      </w:r>
    </w:p>
    <w:p w14:paraId="56E4C2E9" w14:textId="1AE682DB" w:rsidR="00C93F00" w:rsidRDefault="00C93F00" w:rsidP="00C93F0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</w:rPr>
      </w:pPr>
      <w:r w:rsidRPr="00AF667A">
        <w:rPr>
          <w:rStyle w:val="normaltextrun"/>
          <w:rFonts w:ascii="Calibri" w:hAnsi="Calibri" w:cs="Calibri"/>
        </w:rPr>
        <w:t>Délka ochrany po vakcinaci není dosud známa. Potřeba přeočkování nebyla dosud stanovena.</w:t>
      </w:r>
    </w:p>
    <w:p w14:paraId="1836D9C9" w14:textId="5DF10766" w:rsidR="00EE3361" w:rsidRDefault="00EE3361" w:rsidP="00C93F0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</w:rPr>
      </w:pPr>
    </w:p>
    <w:p w14:paraId="02B5C7E6" w14:textId="5B0B8FD9" w:rsidR="00897DCE" w:rsidRPr="00897DCE" w:rsidRDefault="00897DCE" w:rsidP="00897DCE">
      <w:pPr>
        <w:pStyle w:val="Nadpis1"/>
        <w:rPr>
          <w:rStyle w:val="normaltextrun"/>
        </w:rPr>
      </w:pPr>
      <w:bookmarkStart w:id="7" w:name="_Toc58138517"/>
      <w:r>
        <w:rPr>
          <w:rStyle w:val="normaltextrun"/>
          <w:caps w:val="0"/>
        </w:rPr>
        <w:t>5.</w:t>
      </w:r>
      <w:r w:rsidRPr="00897DCE">
        <w:rPr>
          <w:rStyle w:val="normaltextrun"/>
          <w:caps w:val="0"/>
        </w:rPr>
        <w:t>OČKOVÁNÍ U OSOB S PR</w:t>
      </w:r>
      <w:r>
        <w:rPr>
          <w:rStyle w:val="normaltextrun"/>
          <w:caps w:val="0"/>
        </w:rPr>
        <w:t>OKÁZANÝM</w:t>
      </w:r>
      <w:r w:rsidRPr="00897DCE">
        <w:rPr>
          <w:rStyle w:val="normaltextrun"/>
          <w:caps w:val="0"/>
        </w:rPr>
        <w:t xml:space="preserve"> ONEMOCNĚNÍM COVID-19</w:t>
      </w:r>
      <w:bookmarkEnd w:id="7"/>
    </w:p>
    <w:p w14:paraId="56757446" w14:textId="240B14E5" w:rsidR="00897DCE" w:rsidRDefault="00897DCE" w:rsidP="00C93F0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</w:rPr>
      </w:pPr>
    </w:p>
    <w:p w14:paraId="66AB5920" w14:textId="464C2729" w:rsidR="00497E27" w:rsidRDefault="004748B1" w:rsidP="00497E2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Podle dosavadních znalostí neposkytuje onemocnění COVID-19 po jeho prodělání solidní a dlouhodobou imunitu. </w:t>
      </w:r>
      <w:r w:rsidR="0098411F">
        <w:rPr>
          <w:rStyle w:val="normaltextrun"/>
          <w:rFonts w:ascii="Calibri" w:hAnsi="Calibri" w:cs="Calibri"/>
        </w:rPr>
        <w:t xml:space="preserve">Jsou popsány případy opakovaného onemocnění u stejného jedince. Po dobu 90 dnů od onemocnění COVID-19 lze ve většině případů očekávat ještě dostatečnou imunitu. Z dlouhodobého hlediska, očkování přináší benefit a poskytuje časově delší ochranu proti onemocnění COVID-19, než samotné prodělání nemoci. </w:t>
      </w:r>
      <w:r w:rsidR="002F41B0">
        <w:rPr>
          <w:rStyle w:val="normaltextrun"/>
          <w:rFonts w:ascii="Calibri" w:hAnsi="Calibri" w:cs="Calibri"/>
        </w:rPr>
        <w:t xml:space="preserve">Proto se může nechat očkovat i </w:t>
      </w:r>
      <w:r w:rsidR="002F41B0">
        <w:rPr>
          <w:rStyle w:val="normaltextrun"/>
          <w:rFonts w:ascii="Calibri" w:hAnsi="Calibri" w:cs="Calibri"/>
        </w:rPr>
        <w:lastRenderedPageBreak/>
        <w:t xml:space="preserve">osoba s prodělaným onemocněním COVID-19. </w:t>
      </w:r>
      <w:r w:rsidR="00497E27">
        <w:rPr>
          <w:rStyle w:val="normaltextrun"/>
          <w:rFonts w:ascii="Calibri" w:hAnsi="Calibri" w:cs="Calibri"/>
        </w:rPr>
        <w:t xml:space="preserve">Prodělané onemocnění COVID-19 není kontraindikací očkování. </w:t>
      </w:r>
      <w:r w:rsidR="00BA76E0">
        <w:rPr>
          <w:rStyle w:val="normaltextrun"/>
          <w:rFonts w:ascii="Calibri" w:hAnsi="Calibri" w:cs="Calibri"/>
        </w:rPr>
        <w:t>Největší význam přináší očkování kdykoli po 90 dnech od prodělaného onemocnění.</w:t>
      </w:r>
    </w:p>
    <w:p w14:paraId="0A22D88C" w14:textId="373804DC" w:rsidR="00304DA1" w:rsidRDefault="00497E27" w:rsidP="004748B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Jakékoli </w:t>
      </w:r>
      <w:r w:rsidR="00BA76E0">
        <w:rPr>
          <w:rStyle w:val="normaltextrun"/>
          <w:rFonts w:ascii="Calibri" w:hAnsi="Calibri" w:cs="Calibri"/>
        </w:rPr>
        <w:t xml:space="preserve">jiné </w:t>
      </w:r>
      <w:r>
        <w:rPr>
          <w:rStyle w:val="normaltextrun"/>
          <w:rFonts w:ascii="Calibri" w:hAnsi="Calibri" w:cs="Calibri"/>
        </w:rPr>
        <w:t>očkování je možné zahájit nejdříve za 14 dnů po ukončení izolace pro onemocnění COVID-19 v případě příznakového průběhu a za 7 dnů v případě bezpříznakového průběhu.</w:t>
      </w:r>
    </w:p>
    <w:p w14:paraId="0C91BE9D" w14:textId="77777777" w:rsidR="004748B1" w:rsidRPr="00AF667A" w:rsidRDefault="004748B1" w:rsidP="004748B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</w:rPr>
      </w:pPr>
    </w:p>
    <w:p w14:paraId="5685A010" w14:textId="59B2D2A6" w:rsidR="00C93F00" w:rsidRPr="003314B8" w:rsidRDefault="00897DCE" w:rsidP="003314B8">
      <w:pPr>
        <w:pStyle w:val="Nadpis1"/>
      </w:pPr>
      <w:bookmarkStart w:id="8" w:name="_Toc58138518"/>
      <w:r>
        <w:rPr>
          <w:rStyle w:val="normaltextrun"/>
          <w:caps w:val="0"/>
        </w:rPr>
        <w:t>6</w:t>
      </w:r>
      <w:r w:rsidR="003314B8" w:rsidRPr="003314B8">
        <w:rPr>
          <w:rStyle w:val="normaltextrun"/>
          <w:caps w:val="0"/>
        </w:rPr>
        <w:t>.</w:t>
      </w:r>
      <w:r w:rsidR="005D597E">
        <w:rPr>
          <w:rStyle w:val="normaltextrun"/>
          <w:caps w:val="0"/>
        </w:rPr>
        <w:t xml:space="preserve"> </w:t>
      </w:r>
      <w:r w:rsidR="003314B8" w:rsidRPr="003314B8">
        <w:rPr>
          <w:rStyle w:val="normaltextrun"/>
          <w:caps w:val="0"/>
        </w:rPr>
        <w:t xml:space="preserve">DISTRIBUCE </w:t>
      </w:r>
      <w:r w:rsidR="00A114BA" w:rsidRPr="003314B8">
        <w:rPr>
          <w:rStyle w:val="normaltextrun"/>
          <w:caps w:val="0"/>
        </w:rPr>
        <w:t>VAKCÍN</w:t>
      </w:r>
      <w:bookmarkEnd w:id="8"/>
    </w:p>
    <w:p w14:paraId="5C3E8542" w14:textId="77777777" w:rsidR="00EE3361" w:rsidRDefault="00EE3361" w:rsidP="00C93F0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</w:rPr>
      </w:pPr>
    </w:p>
    <w:p w14:paraId="5F5A7707" w14:textId="2A8C0167" w:rsidR="00C93F00" w:rsidRPr="00AF667A" w:rsidRDefault="00C93F00" w:rsidP="00C93F0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</w:rPr>
      </w:pPr>
      <w:r w:rsidRPr="00AF667A">
        <w:rPr>
          <w:rStyle w:val="normaltextrun"/>
          <w:rFonts w:ascii="Calibri" w:hAnsi="Calibri" w:cs="Calibri"/>
        </w:rPr>
        <w:t>Distribuce vakcín bude zajištěna prostřednictví</w:t>
      </w:r>
      <w:r w:rsidR="006C774D">
        <w:rPr>
          <w:rStyle w:val="normaltextrun"/>
          <w:rFonts w:ascii="Calibri" w:hAnsi="Calibri" w:cs="Calibri"/>
        </w:rPr>
        <w:t>m</w:t>
      </w:r>
      <w:r w:rsidRPr="00AF667A">
        <w:rPr>
          <w:rStyle w:val="normaltextrun"/>
          <w:rFonts w:ascii="Calibri" w:hAnsi="Calibri" w:cs="Calibri"/>
        </w:rPr>
        <w:t xml:space="preserve"> sítě distributorů léčiv přímo do jednotlivých zdravotnických zařízení, kde bude očkování prováděno. Během transportu a skladování musí být, podobně jako u většiny ostatních běžných vakcín dodržen chladový řetězec. </w:t>
      </w:r>
      <w:r w:rsidR="000720BC">
        <w:rPr>
          <w:rStyle w:val="normaltextrun"/>
          <w:rFonts w:ascii="Calibri" w:hAnsi="Calibri" w:cs="Calibri"/>
        </w:rPr>
        <w:t xml:space="preserve">Některé </w:t>
      </w:r>
      <w:r w:rsidRPr="00AF667A">
        <w:rPr>
          <w:rStyle w:val="normaltextrun"/>
          <w:rFonts w:ascii="Calibri" w:hAnsi="Calibri" w:cs="Calibri"/>
        </w:rPr>
        <w:t>současn</w:t>
      </w:r>
      <w:r w:rsidR="000720BC">
        <w:rPr>
          <w:rStyle w:val="normaltextrun"/>
          <w:rFonts w:ascii="Calibri" w:hAnsi="Calibri" w:cs="Calibri"/>
        </w:rPr>
        <w:t>é</w:t>
      </w:r>
      <w:r w:rsidRPr="00AF667A">
        <w:rPr>
          <w:rStyle w:val="normaltextrun"/>
          <w:rFonts w:ascii="Calibri" w:hAnsi="Calibri" w:cs="Calibri"/>
        </w:rPr>
        <w:t xml:space="preserve"> vakcín</w:t>
      </w:r>
      <w:r w:rsidR="000720BC">
        <w:rPr>
          <w:rStyle w:val="normaltextrun"/>
          <w:rFonts w:ascii="Calibri" w:hAnsi="Calibri" w:cs="Calibri"/>
        </w:rPr>
        <w:t>y</w:t>
      </w:r>
      <w:r w:rsidRPr="00AF667A">
        <w:rPr>
          <w:rStyle w:val="normaltextrun"/>
          <w:rFonts w:ascii="Calibri" w:hAnsi="Calibri" w:cs="Calibri"/>
        </w:rPr>
        <w:t xml:space="preserve"> má určenou skladovací a transportní teplotu </w:t>
      </w:r>
      <w:r w:rsidR="006E1237" w:rsidRPr="00AF667A">
        <w:rPr>
          <w:rStyle w:val="normaltextrun"/>
          <w:rFonts w:ascii="Calibri" w:hAnsi="Calibri" w:cs="Calibri"/>
        </w:rPr>
        <w:t>2 - 8 °C</w:t>
      </w:r>
      <w:r w:rsidR="000720BC">
        <w:rPr>
          <w:rStyle w:val="normaltextrun"/>
          <w:rFonts w:ascii="Calibri" w:hAnsi="Calibri" w:cs="Calibri"/>
        </w:rPr>
        <w:t xml:space="preserve">, jiné </w:t>
      </w:r>
      <w:r w:rsidRPr="00AF667A">
        <w:rPr>
          <w:rStyle w:val="normaltextrun"/>
          <w:rFonts w:ascii="Calibri" w:hAnsi="Calibri" w:cs="Calibri"/>
        </w:rPr>
        <w:t>vyžadují dlouhodobé skladování při výrazně nižších teplotách (mínus 70</w:t>
      </w:r>
      <w:r w:rsidRPr="00AF667A">
        <w:rPr>
          <w:rStyle w:val="normaltextrun"/>
          <w:rFonts w:ascii="Calibri" w:hAnsi="Calibri" w:cs="Calibri"/>
          <w:vertAlign w:val="superscript"/>
        </w:rPr>
        <w:t>o</w:t>
      </w:r>
      <w:r w:rsidRPr="00AF667A">
        <w:rPr>
          <w:rStyle w:val="normaltextrun"/>
          <w:rFonts w:ascii="Calibri" w:hAnsi="Calibri" w:cs="Calibri"/>
        </w:rPr>
        <w:t>C ± 10</w:t>
      </w:r>
      <w:r w:rsidRPr="00AF667A">
        <w:rPr>
          <w:rStyle w:val="normaltextrun"/>
          <w:rFonts w:ascii="Calibri" w:hAnsi="Calibri" w:cs="Calibri"/>
          <w:vertAlign w:val="superscript"/>
        </w:rPr>
        <w:t>o</w:t>
      </w:r>
      <w:r w:rsidRPr="00AF667A">
        <w:rPr>
          <w:rStyle w:val="normaltextrun"/>
          <w:rFonts w:ascii="Calibri" w:hAnsi="Calibri" w:cs="Calibri"/>
        </w:rPr>
        <w:t>C</w:t>
      </w:r>
      <w:r w:rsidRPr="00933010">
        <w:rPr>
          <w:rStyle w:val="normaltextrun"/>
          <w:rFonts w:ascii="Calibri" w:hAnsi="Calibri" w:cs="Calibri"/>
        </w:rPr>
        <w:t xml:space="preserve">). Distributor zajistí transport a distribuci vakcíny </w:t>
      </w:r>
      <w:r w:rsidR="003809BF">
        <w:rPr>
          <w:rStyle w:val="normaltextrun"/>
          <w:rFonts w:ascii="Calibri" w:hAnsi="Calibri" w:cs="Calibri"/>
        </w:rPr>
        <w:t xml:space="preserve">k jednotlivým </w:t>
      </w:r>
      <w:r w:rsidR="000008E1">
        <w:rPr>
          <w:rStyle w:val="normaltextrun"/>
          <w:rFonts w:ascii="Calibri" w:hAnsi="Calibri" w:cs="Calibri"/>
        </w:rPr>
        <w:t xml:space="preserve">poskytovatelům zdravotních služeb a k místům </w:t>
      </w:r>
      <w:r w:rsidR="003809BF">
        <w:rPr>
          <w:rStyle w:val="normaltextrun"/>
          <w:rFonts w:ascii="Calibri" w:hAnsi="Calibri" w:cs="Calibri"/>
        </w:rPr>
        <w:t>poskytov</w:t>
      </w:r>
      <w:r w:rsidR="000008E1">
        <w:rPr>
          <w:rStyle w:val="normaltextrun"/>
          <w:rFonts w:ascii="Calibri" w:hAnsi="Calibri" w:cs="Calibri"/>
        </w:rPr>
        <w:t xml:space="preserve">ání </w:t>
      </w:r>
      <w:r w:rsidR="003809BF">
        <w:rPr>
          <w:rStyle w:val="normaltextrun"/>
          <w:rFonts w:ascii="Calibri" w:hAnsi="Calibri" w:cs="Calibri"/>
        </w:rPr>
        <w:t>zdravotních služeb</w:t>
      </w:r>
      <w:r w:rsidRPr="00AF667A">
        <w:rPr>
          <w:rStyle w:val="normaltextrun"/>
          <w:rFonts w:ascii="Calibri" w:hAnsi="Calibri" w:cs="Calibri"/>
        </w:rPr>
        <w:t xml:space="preserve">, včetně </w:t>
      </w:r>
      <w:r w:rsidR="006C774D" w:rsidRPr="00AF667A">
        <w:rPr>
          <w:rStyle w:val="normaltextrun"/>
          <w:rFonts w:ascii="Calibri" w:hAnsi="Calibri" w:cs="Calibri"/>
        </w:rPr>
        <w:t>míst</w:t>
      </w:r>
      <w:r w:rsidRPr="00AF667A">
        <w:rPr>
          <w:rStyle w:val="normaltextrun"/>
          <w:rFonts w:ascii="Calibri" w:hAnsi="Calibri" w:cs="Calibri"/>
        </w:rPr>
        <w:t xml:space="preserve">, kde bude očkování zajišťováno </w:t>
      </w:r>
      <w:r w:rsidR="006C774D" w:rsidRPr="00AF667A">
        <w:rPr>
          <w:rStyle w:val="normaltextrun"/>
          <w:rFonts w:ascii="Calibri" w:hAnsi="Calibri" w:cs="Calibri"/>
        </w:rPr>
        <w:t>mobilními očkovacími týmy.</w:t>
      </w:r>
      <w:r w:rsidRPr="00AF667A">
        <w:rPr>
          <w:rStyle w:val="normaltextrun"/>
          <w:rFonts w:ascii="Calibri" w:hAnsi="Calibri" w:cs="Calibri"/>
        </w:rPr>
        <w:t xml:space="preserve"> Vakcíny vyžadující skladování v mínusových teplotách nebudou používány v ordinacích praktických lékařů</w:t>
      </w:r>
      <w:r w:rsidR="00A96111">
        <w:rPr>
          <w:rStyle w:val="normaltextrun"/>
          <w:rFonts w:ascii="Calibri" w:hAnsi="Calibri" w:cs="Calibri"/>
        </w:rPr>
        <w:t>, pokud nemají potřebné vybavení</w:t>
      </w:r>
      <w:r w:rsidRPr="00AF667A">
        <w:rPr>
          <w:rStyle w:val="normaltextrun"/>
          <w:rFonts w:ascii="Calibri" w:hAnsi="Calibri" w:cs="Calibri"/>
        </w:rPr>
        <w:t>.</w:t>
      </w:r>
    </w:p>
    <w:p w14:paraId="762C3F1A" w14:textId="14CB1297" w:rsidR="006C774D" w:rsidRDefault="00C93F00" w:rsidP="006C774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</w:rPr>
      </w:pPr>
      <w:r w:rsidRPr="00AF667A">
        <w:rPr>
          <w:rStyle w:val="normaltextrun"/>
          <w:rFonts w:ascii="Calibri" w:hAnsi="Calibri" w:cs="Calibri"/>
        </w:rPr>
        <w:t>Vakcíny budou dodávány ve vícedávkovém balení</w:t>
      </w:r>
      <w:r w:rsidR="00743C8E">
        <w:rPr>
          <w:rStyle w:val="normaltextrun"/>
          <w:rFonts w:ascii="Calibri" w:hAnsi="Calibri" w:cs="Calibri"/>
        </w:rPr>
        <w:t xml:space="preserve"> rozlišném dle výrobce</w:t>
      </w:r>
      <w:r w:rsidRPr="00AF667A">
        <w:rPr>
          <w:rStyle w:val="normaltextrun"/>
          <w:rFonts w:ascii="Calibri" w:hAnsi="Calibri" w:cs="Calibri"/>
        </w:rPr>
        <w:t xml:space="preserve">. </w:t>
      </w:r>
    </w:p>
    <w:p w14:paraId="4D94F5DC" w14:textId="6F715AED" w:rsidR="001E422B" w:rsidRDefault="001E422B" w:rsidP="006C774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</w:rPr>
      </w:pPr>
    </w:p>
    <w:p w14:paraId="6ABA2F1B" w14:textId="605A505F" w:rsidR="001E422B" w:rsidRPr="00AF667A" w:rsidRDefault="001E422B" w:rsidP="006C774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Podrobné schéma distribuce jednotlivých vakcín bude zpracováno na základě dodané dokumentace jednotlivými firmami, s nimiž ČR-MZ uzavřelo prostřednictví EK předběžnou smlouvu.</w:t>
      </w:r>
    </w:p>
    <w:p w14:paraId="2968B17F" w14:textId="77777777" w:rsidR="00C93F00" w:rsidRPr="00AF667A" w:rsidRDefault="00C93F00" w:rsidP="00C93F0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/>
        </w:rPr>
      </w:pPr>
      <w:r w:rsidRPr="00AF667A">
        <w:rPr>
          <w:rStyle w:val="normaltextrun"/>
          <w:rFonts w:ascii="Calibri" w:hAnsi="Calibri"/>
        </w:rPr>
        <w:t> </w:t>
      </w:r>
    </w:p>
    <w:p w14:paraId="306E1F9E" w14:textId="66214080" w:rsidR="00C93F00" w:rsidRPr="003314B8" w:rsidRDefault="00897DCE" w:rsidP="003314B8">
      <w:pPr>
        <w:pStyle w:val="Nadpis1"/>
        <w:rPr>
          <w:rStyle w:val="eop"/>
        </w:rPr>
      </w:pPr>
      <w:bookmarkStart w:id="9" w:name="_Toc58138519"/>
      <w:r>
        <w:rPr>
          <w:rStyle w:val="eop"/>
          <w:caps w:val="0"/>
        </w:rPr>
        <w:t>7</w:t>
      </w:r>
      <w:r w:rsidR="003314B8" w:rsidRPr="003314B8">
        <w:rPr>
          <w:rStyle w:val="eop"/>
          <w:caps w:val="0"/>
        </w:rPr>
        <w:t>.</w:t>
      </w:r>
      <w:r w:rsidR="005D597E">
        <w:rPr>
          <w:rStyle w:val="eop"/>
          <w:caps w:val="0"/>
        </w:rPr>
        <w:t xml:space="preserve"> </w:t>
      </w:r>
      <w:r w:rsidR="003314B8" w:rsidRPr="003314B8">
        <w:rPr>
          <w:rStyle w:val="eop"/>
          <w:caps w:val="0"/>
        </w:rPr>
        <w:t>MATERIÁL K APLIKACI VAKCÍN</w:t>
      </w:r>
      <w:bookmarkEnd w:id="9"/>
    </w:p>
    <w:p w14:paraId="20E0569D" w14:textId="77777777" w:rsidR="00F667FC" w:rsidRPr="003809BF" w:rsidRDefault="00F667FC" w:rsidP="003809B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</w:rPr>
      </w:pPr>
    </w:p>
    <w:p w14:paraId="723B2D47" w14:textId="49B71B39" w:rsidR="002C4FDA" w:rsidRPr="007B4F0B" w:rsidRDefault="002C4FDA" w:rsidP="00E61B4F">
      <w:pPr>
        <w:jc w:val="both"/>
        <w:rPr>
          <w:rStyle w:val="normaltextrun"/>
          <w:rFonts w:ascii="Calibri" w:eastAsiaTheme="minorHAnsi" w:hAnsi="Calibri" w:cs="Calibri"/>
          <w:sz w:val="24"/>
          <w:lang w:eastAsia="cs-CZ"/>
        </w:rPr>
      </w:pPr>
      <w:r>
        <w:rPr>
          <w:rStyle w:val="normaltextrun"/>
          <w:rFonts w:ascii="Calibri" w:eastAsiaTheme="minorHAnsi" w:hAnsi="Calibri" w:cs="Calibri"/>
          <w:sz w:val="24"/>
          <w:lang w:eastAsia="cs-CZ"/>
        </w:rPr>
        <w:t xml:space="preserve">Pro plánování specifických požadavků na aplikaci jednotlivých vakcín je zapotřebí brát v potaz, že očkovací látky budou dodávány ve vícedávkových balení. Dodávky vakcín nebudou </w:t>
      </w:r>
      <w:r w:rsidR="00B15F20">
        <w:rPr>
          <w:rStyle w:val="normaltextrun"/>
          <w:rFonts w:ascii="Calibri" w:eastAsiaTheme="minorHAnsi" w:hAnsi="Calibri" w:cs="Calibri"/>
          <w:sz w:val="24"/>
          <w:lang w:eastAsia="cs-CZ"/>
        </w:rPr>
        <w:t xml:space="preserve">vždy </w:t>
      </w:r>
      <w:r>
        <w:rPr>
          <w:rStyle w:val="normaltextrun"/>
          <w:rFonts w:ascii="Calibri" w:eastAsiaTheme="minorHAnsi" w:hAnsi="Calibri" w:cs="Calibri"/>
          <w:sz w:val="24"/>
          <w:lang w:eastAsia="cs-CZ"/>
        </w:rPr>
        <w:t>obsahovat další vybavení potřebné pro vlastní aplikaci</w:t>
      </w:r>
      <w:r w:rsidR="003901A6">
        <w:rPr>
          <w:rStyle w:val="normaltextrun"/>
          <w:rFonts w:ascii="Calibri" w:eastAsiaTheme="minorHAnsi" w:hAnsi="Calibri" w:cs="Calibri"/>
          <w:sz w:val="24"/>
          <w:lang w:eastAsia="cs-CZ"/>
        </w:rPr>
        <w:t xml:space="preserve">, jakou jsou </w:t>
      </w:r>
      <w:r>
        <w:rPr>
          <w:rStyle w:val="normaltextrun"/>
          <w:rFonts w:ascii="Calibri" w:eastAsiaTheme="minorHAnsi" w:hAnsi="Calibri" w:cs="Calibri"/>
          <w:sz w:val="24"/>
          <w:lang w:eastAsia="cs-CZ"/>
        </w:rPr>
        <w:t>jehly, stříkačky</w:t>
      </w:r>
      <w:r w:rsidR="003901A6">
        <w:rPr>
          <w:rStyle w:val="normaltextrun"/>
          <w:rFonts w:ascii="Calibri" w:eastAsiaTheme="minorHAnsi" w:hAnsi="Calibri" w:cs="Calibri"/>
          <w:sz w:val="24"/>
          <w:lang w:eastAsia="cs-CZ"/>
        </w:rPr>
        <w:t xml:space="preserve"> a </w:t>
      </w:r>
      <w:r>
        <w:rPr>
          <w:rStyle w:val="normaltextrun"/>
          <w:rFonts w:ascii="Calibri" w:eastAsiaTheme="minorHAnsi" w:hAnsi="Calibri" w:cs="Calibri"/>
          <w:sz w:val="24"/>
          <w:lang w:eastAsia="cs-CZ"/>
        </w:rPr>
        <w:t>rozp</w:t>
      </w:r>
      <w:r w:rsidR="00B15F20">
        <w:rPr>
          <w:rStyle w:val="normaltextrun"/>
          <w:rFonts w:ascii="Calibri" w:eastAsiaTheme="minorHAnsi" w:hAnsi="Calibri" w:cs="Calibri"/>
          <w:sz w:val="24"/>
          <w:lang w:eastAsia="cs-CZ"/>
        </w:rPr>
        <w:t>o</w:t>
      </w:r>
      <w:r>
        <w:rPr>
          <w:rStyle w:val="normaltextrun"/>
          <w:rFonts w:ascii="Calibri" w:eastAsiaTheme="minorHAnsi" w:hAnsi="Calibri" w:cs="Calibri"/>
          <w:sz w:val="24"/>
          <w:lang w:eastAsia="cs-CZ"/>
        </w:rPr>
        <w:t>u</w:t>
      </w:r>
      <w:r w:rsidR="00B15F20">
        <w:rPr>
          <w:rStyle w:val="normaltextrun"/>
          <w:rFonts w:ascii="Calibri" w:eastAsiaTheme="minorHAnsi" w:hAnsi="Calibri" w:cs="Calibri"/>
          <w:sz w:val="24"/>
          <w:lang w:eastAsia="cs-CZ"/>
        </w:rPr>
        <w:t>štědla</w:t>
      </w:r>
      <w:r w:rsidR="003901A6">
        <w:rPr>
          <w:rStyle w:val="normaltextrun"/>
          <w:rFonts w:ascii="Calibri" w:eastAsiaTheme="minorHAnsi" w:hAnsi="Calibri" w:cs="Calibri"/>
          <w:sz w:val="24"/>
          <w:lang w:eastAsia="cs-CZ"/>
        </w:rPr>
        <w:t xml:space="preserve"> (např. 0,9 % roztok NaCl)</w:t>
      </w:r>
      <w:r w:rsidR="00EA0C0C">
        <w:rPr>
          <w:rStyle w:val="normaltextrun"/>
          <w:rFonts w:ascii="Calibri" w:eastAsiaTheme="minorHAnsi" w:hAnsi="Calibri" w:cs="Calibri"/>
          <w:sz w:val="24"/>
          <w:lang w:eastAsia="cs-CZ"/>
        </w:rPr>
        <w:t xml:space="preserve">. </w:t>
      </w:r>
      <w:r w:rsidR="007B4F0B">
        <w:rPr>
          <w:rStyle w:val="normaltextrun"/>
          <w:rFonts w:ascii="Calibri" w:eastAsiaTheme="minorHAnsi" w:hAnsi="Calibri" w:cs="Calibri"/>
          <w:sz w:val="24"/>
          <w:lang w:eastAsia="cs-CZ"/>
        </w:rPr>
        <w:t>Zajištění a nákup potřebného spotřebního materiálu bude zajišťován centrálně státem.</w:t>
      </w:r>
    </w:p>
    <w:p w14:paraId="0BBFB902" w14:textId="307701FC" w:rsidR="00C93F00" w:rsidRPr="00EE3361" w:rsidRDefault="00C93F00" w:rsidP="00B32BF8">
      <w:pPr>
        <w:rPr>
          <w:rStyle w:val="normaltextrun"/>
          <w:rFonts w:ascii="Calibri" w:eastAsiaTheme="minorHAnsi" w:hAnsi="Calibri" w:cs="Calibri"/>
          <w:sz w:val="24"/>
          <w:lang w:eastAsia="cs-CZ"/>
        </w:rPr>
      </w:pPr>
      <w:r w:rsidRPr="00EE3361">
        <w:rPr>
          <w:rStyle w:val="normaltextrun"/>
          <w:rFonts w:ascii="Calibri" w:eastAsiaTheme="minorHAnsi" w:hAnsi="Calibri" w:cs="Calibri"/>
          <w:sz w:val="24"/>
          <w:lang w:eastAsia="cs-CZ"/>
        </w:rPr>
        <w:t xml:space="preserve">V případě vakcín, kde bude nezbytné ředění v rámci přípravy vakcíny k aplikaci, </w:t>
      </w:r>
      <w:r w:rsidR="006C774D" w:rsidRPr="00EE3361">
        <w:rPr>
          <w:rStyle w:val="normaltextrun"/>
          <w:rFonts w:ascii="Calibri" w:eastAsiaTheme="minorHAnsi" w:hAnsi="Calibri" w:cs="Calibri"/>
          <w:sz w:val="24"/>
          <w:lang w:eastAsia="cs-CZ"/>
        </w:rPr>
        <w:t>bude nutné vytvořit dostatečnou zásobu potřeb</w:t>
      </w:r>
      <w:r w:rsidR="006C774D">
        <w:rPr>
          <w:rStyle w:val="normaltextrun"/>
          <w:rFonts w:ascii="Calibri" w:eastAsiaTheme="minorHAnsi" w:hAnsi="Calibri" w:cs="Calibri"/>
          <w:sz w:val="24"/>
          <w:lang w:eastAsia="cs-CZ"/>
        </w:rPr>
        <w:t>ného materiálu</w:t>
      </w:r>
      <w:r w:rsidR="00AC44D4">
        <w:rPr>
          <w:rStyle w:val="normaltextrun"/>
          <w:rFonts w:ascii="Calibri" w:eastAsiaTheme="minorHAnsi" w:hAnsi="Calibri" w:cs="Calibri"/>
          <w:sz w:val="24"/>
          <w:lang w:eastAsia="cs-CZ"/>
        </w:rPr>
        <w:t>, jako jsou jehly,</w:t>
      </w:r>
      <w:r w:rsidRPr="00EE3361">
        <w:rPr>
          <w:rStyle w:val="normaltextrun"/>
          <w:rFonts w:ascii="Calibri" w:eastAsiaTheme="minorHAnsi" w:hAnsi="Calibri" w:cs="Calibri"/>
          <w:sz w:val="24"/>
          <w:lang w:eastAsia="cs-CZ"/>
        </w:rPr>
        <w:t xml:space="preserve"> stříkačky</w:t>
      </w:r>
      <w:r w:rsidR="00AC44D4">
        <w:rPr>
          <w:rStyle w:val="normaltextrun"/>
          <w:rFonts w:ascii="Calibri" w:eastAsiaTheme="minorHAnsi" w:hAnsi="Calibri" w:cs="Calibri"/>
          <w:sz w:val="24"/>
          <w:lang w:eastAsia="cs-CZ"/>
        </w:rPr>
        <w:t xml:space="preserve"> a rozpouštědlo</w:t>
      </w:r>
      <w:r w:rsidRPr="00EE3361">
        <w:rPr>
          <w:rStyle w:val="normaltextrun"/>
          <w:rFonts w:ascii="Calibri" w:eastAsiaTheme="minorHAnsi" w:hAnsi="Calibri" w:cs="Calibri"/>
          <w:sz w:val="24"/>
          <w:lang w:eastAsia="cs-CZ"/>
        </w:rPr>
        <w:t xml:space="preserve">. </w:t>
      </w:r>
    </w:p>
    <w:p w14:paraId="55293593" w14:textId="2EDF0232" w:rsidR="00C93F00" w:rsidRPr="00AF667A" w:rsidRDefault="00C93F00" w:rsidP="00B15F20">
      <w:pPr>
        <w:pStyle w:val="Odstavecseseznamem"/>
        <w:numPr>
          <w:ilvl w:val="0"/>
          <w:numId w:val="27"/>
        </w:numPr>
        <w:jc w:val="both"/>
        <w:rPr>
          <w:rStyle w:val="normaltextrun"/>
          <w:sz w:val="24"/>
          <w:szCs w:val="24"/>
          <w:lang w:eastAsia="cs-CZ"/>
        </w:rPr>
      </w:pPr>
      <w:r w:rsidRPr="00AF667A">
        <w:rPr>
          <w:rStyle w:val="normaltextrun"/>
          <w:sz w:val="24"/>
          <w:szCs w:val="24"/>
        </w:rPr>
        <w:t>Injekční stříkačka pro aplikaci (tuberkulínová)  -</w:t>
      </w:r>
      <w:r w:rsidRPr="00AF667A">
        <w:rPr>
          <w:rStyle w:val="normaltextrun"/>
          <w:sz w:val="24"/>
          <w:szCs w:val="24"/>
          <w:lang w:eastAsia="cs-CZ"/>
        </w:rPr>
        <w:t xml:space="preserve"> bez jehly, 1 ml, jednorázová, sterilní, jednotlivě balená, vhodná pro objemy 0,3 ml ale i 0,5 ml. Kvalifikovaný odhad počtu: </w:t>
      </w:r>
      <w:r w:rsidR="00DF6B9A">
        <w:rPr>
          <w:rStyle w:val="normaltextrun"/>
          <w:sz w:val="24"/>
          <w:szCs w:val="24"/>
          <w:lang w:eastAsia="cs-CZ"/>
        </w:rPr>
        <w:t>12</w:t>
      </w:r>
      <w:r w:rsidRPr="00AF667A">
        <w:rPr>
          <w:rStyle w:val="normaltextrun"/>
          <w:sz w:val="24"/>
          <w:szCs w:val="24"/>
          <w:lang w:eastAsia="cs-CZ"/>
        </w:rPr>
        <w:t xml:space="preserve"> milionů</w:t>
      </w:r>
      <w:r w:rsidR="00DF6B9A">
        <w:rPr>
          <w:rStyle w:val="normaltextrun"/>
          <w:sz w:val="24"/>
          <w:szCs w:val="24"/>
          <w:lang w:eastAsia="cs-CZ"/>
        </w:rPr>
        <w:t xml:space="preserve"> stříkaček pro aplikaci celkem 12</w:t>
      </w:r>
      <w:r w:rsidRPr="00AF667A">
        <w:rPr>
          <w:rStyle w:val="normaltextrun"/>
          <w:sz w:val="24"/>
          <w:szCs w:val="24"/>
          <w:lang w:eastAsia="cs-CZ"/>
        </w:rPr>
        <w:t xml:space="preserve"> milionů dávek pro cca </w:t>
      </w:r>
      <w:r w:rsidR="00DF6B9A">
        <w:rPr>
          <w:rStyle w:val="normaltextrun"/>
          <w:sz w:val="24"/>
          <w:szCs w:val="24"/>
          <w:lang w:eastAsia="cs-CZ"/>
        </w:rPr>
        <w:t>6</w:t>
      </w:r>
      <w:r w:rsidRPr="00AF667A">
        <w:rPr>
          <w:rStyle w:val="normaltextrun"/>
          <w:sz w:val="24"/>
          <w:szCs w:val="24"/>
          <w:lang w:eastAsia="cs-CZ"/>
        </w:rPr>
        <w:t>,</w:t>
      </w:r>
      <w:r w:rsidR="00DF6B9A">
        <w:rPr>
          <w:rStyle w:val="normaltextrun"/>
          <w:sz w:val="24"/>
          <w:szCs w:val="24"/>
          <w:lang w:eastAsia="cs-CZ"/>
        </w:rPr>
        <w:t>9</w:t>
      </w:r>
      <w:r w:rsidRPr="00AF667A">
        <w:rPr>
          <w:rStyle w:val="normaltextrun"/>
          <w:sz w:val="24"/>
          <w:szCs w:val="24"/>
          <w:lang w:eastAsia="cs-CZ"/>
        </w:rPr>
        <w:t xml:space="preserve"> milionů obyvatel</w:t>
      </w:r>
      <w:r w:rsidR="004215ED">
        <w:rPr>
          <w:rStyle w:val="normaltextrun"/>
          <w:sz w:val="24"/>
          <w:szCs w:val="24"/>
          <w:lang w:eastAsia="cs-CZ"/>
        </w:rPr>
        <w:t>.</w:t>
      </w:r>
    </w:p>
    <w:p w14:paraId="28F93CEB" w14:textId="6F18F06A" w:rsidR="00C93F00" w:rsidRPr="00AF667A" w:rsidRDefault="00C93F00" w:rsidP="00B15F20">
      <w:pPr>
        <w:pStyle w:val="Odstavecseseznamem"/>
        <w:numPr>
          <w:ilvl w:val="0"/>
          <w:numId w:val="27"/>
        </w:numPr>
        <w:jc w:val="both"/>
        <w:rPr>
          <w:rStyle w:val="normaltextrun"/>
          <w:sz w:val="24"/>
          <w:szCs w:val="24"/>
          <w:lang w:eastAsia="cs-CZ"/>
        </w:rPr>
      </w:pPr>
      <w:r w:rsidRPr="00AF667A">
        <w:rPr>
          <w:rStyle w:val="normaltextrun"/>
          <w:sz w:val="24"/>
          <w:szCs w:val="24"/>
          <w:lang w:eastAsia="cs-CZ"/>
        </w:rPr>
        <w:t>Injekční stříkačky pro ředění – 1,8 ml rozpouštědla na 5 dávek,  2 ml bez jehly (případně 5 ml), jednorázová, sterilní, jednotli</w:t>
      </w:r>
      <w:r w:rsidR="002573BE">
        <w:rPr>
          <w:rStyle w:val="normaltextrun"/>
          <w:sz w:val="24"/>
          <w:szCs w:val="24"/>
          <w:lang w:eastAsia="cs-CZ"/>
        </w:rPr>
        <w:t>vě balená. Kvalifikovaný odhad 8</w:t>
      </w:r>
      <w:r w:rsidRPr="00AF667A">
        <w:rPr>
          <w:rStyle w:val="normaltextrun"/>
          <w:sz w:val="24"/>
          <w:szCs w:val="24"/>
          <w:lang w:eastAsia="cs-CZ"/>
        </w:rPr>
        <w:t>00 tisíc kusů pro 3 miliony dávek mRNA vakcíny (Pfizer)</w:t>
      </w:r>
      <w:r w:rsidR="004215ED">
        <w:rPr>
          <w:rStyle w:val="normaltextrun"/>
          <w:sz w:val="24"/>
          <w:szCs w:val="24"/>
          <w:lang w:eastAsia="cs-CZ"/>
        </w:rPr>
        <w:t>.</w:t>
      </w:r>
    </w:p>
    <w:p w14:paraId="7CA2C827" w14:textId="7858AC3F" w:rsidR="00C93F00" w:rsidRPr="00AF667A" w:rsidRDefault="00C93F00" w:rsidP="00B15F20">
      <w:pPr>
        <w:pStyle w:val="Odstavecseseznamem"/>
        <w:numPr>
          <w:ilvl w:val="0"/>
          <w:numId w:val="27"/>
        </w:numPr>
        <w:jc w:val="both"/>
        <w:rPr>
          <w:rStyle w:val="Sledovanodkaz"/>
          <w:sz w:val="24"/>
          <w:szCs w:val="24"/>
          <w:lang w:eastAsia="cs-CZ"/>
        </w:rPr>
      </w:pPr>
      <w:r w:rsidRPr="00AF667A">
        <w:rPr>
          <w:rStyle w:val="normaltextrun"/>
          <w:sz w:val="24"/>
          <w:szCs w:val="24"/>
          <w:lang w:eastAsia="cs-CZ"/>
        </w:rPr>
        <w:lastRenderedPageBreak/>
        <w:t xml:space="preserve">Jehly pro ředění - </w:t>
      </w:r>
      <w:r w:rsidR="00B15F20">
        <w:rPr>
          <w:sz w:val="24"/>
          <w:szCs w:val="24"/>
        </w:rPr>
        <w:t>i</w:t>
      </w:r>
      <w:r w:rsidR="00B15F20" w:rsidRPr="00AF667A">
        <w:rPr>
          <w:sz w:val="24"/>
          <w:szCs w:val="24"/>
        </w:rPr>
        <w:t xml:space="preserve">njekční </w:t>
      </w:r>
      <w:r w:rsidRPr="00AF667A">
        <w:rPr>
          <w:sz w:val="24"/>
          <w:szCs w:val="24"/>
        </w:rPr>
        <w:t>jehla 0,80 x 40 mm 21 G zelená, jednorázová, sterilní, jednotlivě balená – kvalif</w:t>
      </w:r>
      <w:r w:rsidR="002573BE">
        <w:rPr>
          <w:sz w:val="24"/>
          <w:szCs w:val="24"/>
        </w:rPr>
        <w:t>ikovaný odhad až 8</w:t>
      </w:r>
      <w:r w:rsidRPr="00AF667A">
        <w:rPr>
          <w:sz w:val="24"/>
          <w:szCs w:val="24"/>
        </w:rPr>
        <w:t>00 tisíc kusů (pro ředění 3 milion dávek vakcíny Pfizer)</w:t>
      </w:r>
      <w:r w:rsidR="004215ED">
        <w:rPr>
          <w:sz w:val="24"/>
          <w:szCs w:val="24"/>
        </w:rPr>
        <w:t>.</w:t>
      </w:r>
    </w:p>
    <w:p w14:paraId="0BE576A2" w14:textId="5BD8E2C2" w:rsidR="00C93F00" w:rsidRDefault="00C93F00" w:rsidP="00B15F20">
      <w:pPr>
        <w:pStyle w:val="Odstavecseseznamem"/>
        <w:numPr>
          <w:ilvl w:val="0"/>
          <w:numId w:val="27"/>
        </w:numPr>
        <w:jc w:val="both"/>
        <w:rPr>
          <w:sz w:val="24"/>
          <w:szCs w:val="24"/>
        </w:rPr>
      </w:pPr>
      <w:r w:rsidRPr="00AF667A">
        <w:rPr>
          <w:sz w:val="24"/>
          <w:szCs w:val="24"/>
          <w:lang w:eastAsia="cs-CZ"/>
        </w:rPr>
        <w:t xml:space="preserve">Jehly pro aplikaci - </w:t>
      </w:r>
      <w:r w:rsidR="00B15F20">
        <w:rPr>
          <w:sz w:val="24"/>
          <w:szCs w:val="24"/>
        </w:rPr>
        <w:t>i</w:t>
      </w:r>
      <w:r w:rsidR="00B15F20" w:rsidRPr="00AF667A">
        <w:rPr>
          <w:sz w:val="24"/>
          <w:szCs w:val="24"/>
        </w:rPr>
        <w:t xml:space="preserve">njekční </w:t>
      </w:r>
      <w:r w:rsidRPr="00AF667A">
        <w:rPr>
          <w:sz w:val="24"/>
          <w:szCs w:val="24"/>
        </w:rPr>
        <w:t xml:space="preserve">jehla 0,6x25 23G modrá, jednorázová, sterilní, jednotlivě balená – kvalifikovaný odhad až </w:t>
      </w:r>
      <w:r w:rsidR="00DF6B9A">
        <w:rPr>
          <w:sz w:val="24"/>
          <w:szCs w:val="24"/>
        </w:rPr>
        <w:t>12</w:t>
      </w:r>
      <w:r w:rsidRPr="00AF667A">
        <w:rPr>
          <w:sz w:val="24"/>
          <w:szCs w:val="24"/>
        </w:rPr>
        <w:t xml:space="preserve"> milionů kusů.</w:t>
      </w:r>
    </w:p>
    <w:p w14:paraId="602A3C2A" w14:textId="37FD84EF" w:rsidR="0072338A" w:rsidRDefault="0072338A" w:rsidP="00B15F20">
      <w:pPr>
        <w:pStyle w:val="Odstavecseseznamem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Rozp</w:t>
      </w:r>
      <w:r w:rsidR="00B15F20">
        <w:rPr>
          <w:sz w:val="24"/>
          <w:szCs w:val="24"/>
        </w:rPr>
        <w:t xml:space="preserve">ouštědlo </w:t>
      </w:r>
      <w:r>
        <w:rPr>
          <w:sz w:val="24"/>
          <w:szCs w:val="24"/>
        </w:rPr>
        <w:t>– fyziologický roztok</w:t>
      </w:r>
      <w:r w:rsidR="000D4D08">
        <w:rPr>
          <w:sz w:val="24"/>
          <w:szCs w:val="24"/>
        </w:rPr>
        <w:t xml:space="preserve"> (</w:t>
      </w:r>
      <w:r w:rsidR="000D4D08" w:rsidRPr="000D4D08">
        <w:rPr>
          <w:sz w:val="24"/>
          <w:szCs w:val="24"/>
        </w:rPr>
        <w:t>0,9% Sodium Chloride)</w:t>
      </w:r>
      <w:r w:rsidR="000D4D08">
        <w:rPr>
          <w:sz w:val="24"/>
          <w:szCs w:val="24"/>
        </w:rPr>
        <w:t xml:space="preserve"> o objemech 2ml, 3 ml, 5ml, 10 ml k jednorázovému ředění očkovací látky</w:t>
      </w:r>
      <w:r w:rsidR="002573BE">
        <w:rPr>
          <w:sz w:val="24"/>
          <w:szCs w:val="24"/>
        </w:rPr>
        <w:t xml:space="preserve"> – kvalifikovaný odhad 800 tisíc balení</w:t>
      </w:r>
      <w:r w:rsidR="000D4D08">
        <w:rPr>
          <w:sz w:val="24"/>
          <w:szCs w:val="24"/>
        </w:rPr>
        <w:t xml:space="preserve">. </w:t>
      </w:r>
    </w:p>
    <w:p w14:paraId="45D01D34" w14:textId="4F3658ED" w:rsidR="0054245A" w:rsidRDefault="0054245A" w:rsidP="00C93F00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Segoe UI"/>
        </w:rPr>
      </w:pPr>
    </w:p>
    <w:p w14:paraId="72FE59AE" w14:textId="5FD2E2ED" w:rsidR="00FA2A14" w:rsidRPr="00272887" w:rsidRDefault="00897DCE" w:rsidP="00272887">
      <w:pPr>
        <w:pStyle w:val="Nadpis1"/>
      </w:pPr>
      <w:bookmarkStart w:id="10" w:name="_Toc58138520"/>
      <w:r>
        <w:rPr>
          <w:caps w:val="0"/>
        </w:rPr>
        <w:t>8</w:t>
      </w:r>
      <w:r w:rsidR="00272887" w:rsidRPr="00272887">
        <w:rPr>
          <w:caps w:val="0"/>
        </w:rPr>
        <w:t xml:space="preserve">. INDIKAČNÍ SKUPINY K OČKOVÁNÍ - </w:t>
      </w:r>
      <w:r w:rsidR="006C774D" w:rsidRPr="00272887">
        <w:rPr>
          <w:caps w:val="0"/>
        </w:rPr>
        <w:t>- PRIORITIZACE</w:t>
      </w:r>
      <w:bookmarkEnd w:id="10"/>
    </w:p>
    <w:p w14:paraId="7C3A0B68" w14:textId="77777777" w:rsidR="00FA2A14" w:rsidRPr="00F545A1" w:rsidRDefault="00FA2A14" w:rsidP="00C93F0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cs="Calibri"/>
        </w:rPr>
      </w:pPr>
    </w:p>
    <w:p w14:paraId="7657477D" w14:textId="3424700A" w:rsidR="00C93F00" w:rsidRPr="00AF667A" w:rsidRDefault="00C93F00" w:rsidP="00C93F00">
      <w:pPr>
        <w:pStyle w:val="Odstavecseseznamem"/>
        <w:numPr>
          <w:ilvl w:val="0"/>
          <w:numId w:val="26"/>
        </w:numPr>
        <w:jc w:val="both"/>
        <w:rPr>
          <w:b/>
          <w:sz w:val="24"/>
          <w:szCs w:val="24"/>
        </w:rPr>
      </w:pPr>
      <w:r w:rsidRPr="00AF667A">
        <w:rPr>
          <w:b/>
          <w:sz w:val="24"/>
          <w:szCs w:val="24"/>
        </w:rPr>
        <w:t xml:space="preserve">Osoby ve věku </w:t>
      </w:r>
      <w:r w:rsidRPr="00AF667A">
        <w:rPr>
          <w:rFonts w:cstheme="minorHAnsi"/>
          <w:b/>
          <w:sz w:val="24"/>
          <w:szCs w:val="24"/>
        </w:rPr>
        <w:t>≥</w:t>
      </w:r>
      <w:r w:rsidRPr="00AF667A">
        <w:rPr>
          <w:b/>
          <w:sz w:val="24"/>
          <w:szCs w:val="24"/>
        </w:rPr>
        <w:t xml:space="preserve"> 65 let a bez ohledu na věk chronicky nemocní pacienti uvedených </w:t>
      </w:r>
      <w:r w:rsidR="006C774D" w:rsidRPr="00AF667A">
        <w:rPr>
          <w:b/>
          <w:sz w:val="24"/>
          <w:szCs w:val="24"/>
        </w:rPr>
        <w:t>skupin</w:t>
      </w:r>
      <w:r w:rsidR="00B15F20">
        <w:rPr>
          <w:b/>
          <w:sz w:val="24"/>
          <w:szCs w:val="24"/>
        </w:rPr>
        <w:t xml:space="preserve"> pojištěnců</w:t>
      </w:r>
      <w:r w:rsidRPr="00AF667A">
        <w:rPr>
          <w:b/>
          <w:sz w:val="24"/>
          <w:szCs w:val="24"/>
        </w:rPr>
        <w:t xml:space="preserve">:   </w:t>
      </w:r>
    </w:p>
    <w:p w14:paraId="0D5E6E7D" w14:textId="027E54B9" w:rsidR="00C93F00" w:rsidRPr="00AF667A" w:rsidRDefault="002B316A" w:rsidP="00C93F00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C</w:t>
      </w:r>
      <w:r w:rsidR="00C93F00" w:rsidRPr="00AF667A">
        <w:rPr>
          <w:rStyle w:val="normaltextrun"/>
          <w:rFonts w:ascii="Calibri" w:hAnsi="Calibri" w:cs="Calibri"/>
        </w:rPr>
        <w:t>hronická respirační onemocnění (CHOPN, bronchiektázie, plicní fibrózy – cystická fibróza, idiopatická plicní fibróza, PCD)</w:t>
      </w:r>
      <w:r w:rsidR="00C93F00" w:rsidRPr="00AF667A">
        <w:rPr>
          <w:rStyle w:val="eop"/>
          <w:rFonts w:ascii="Calibri" w:hAnsi="Calibri" w:cs="Calibri"/>
        </w:rPr>
        <w:t> </w:t>
      </w:r>
    </w:p>
    <w:p w14:paraId="7AC1706C" w14:textId="77777777" w:rsidR="00C93F00" w:rsidRPr="00AF667A" w:rsidRDefault="00C93F00" w:rsidP="00C93F00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libri" w:hAnsi="Calibri" w:cs="Calibri"/>
        </w:rPr>
      </w:pPr>
      <w:r w:rsidRPr="00AF667A">
        <w:rPr>
          <w:rStyle w:val="normaltextrun"/>
          <w:rFonts w:ascii="Calibri" w:hAnsi="Calibri" w:cs="Calibri"/>
        </w:rPr>
        <w:t>Rezistentní hypertenze (zvýšený TK 140/90 </w:t>
      </w:r>
      <w:r w:rsidRPr="00AF667A">
        <w:rPr>
          <w:rStyle w:val="spellingerror"/>
          <w:rFonts w:ascii="Calibri" w:hAnsi="Calibri" w:cs="Calibri"/>
        </w:rPr>
        <w:t>mmHg</w:t>
      </w:r>
      <w:r w:rsidRPr="00AF667A">
        <w:rPr>
          <w:rStyle w:val="normaltextrun"/>
          <w:rFonts w:ascii="Calibri" w:hAnsi="Calibri" w:cs="Calibri"/>
        </w:rPr>
        <w:t> a vyšší navzdory nejméně trojkombinaci antihypertenziv)</w:t>
      </w:r>
      <w:r w:rsidRPr="00AF667A">
        <w:rPr>
          <w:rStyle w:val="eop"/>
          <w:rFonts w:ascii="Calibri" w:hAnsi="Calibri" w:cs="Calibri"/>
        </w:rPr>
        <w:t> </w:t>
      </w:r>
    </w:p>
    <w:p w14:paraId="6A02D638" w14:textId="5F3F9D86" w:rsidR="00C93F00" w:rsidRPr="00AF667A" w:rsidRDefault="00C93F00" w:rsidP="00C93F00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libri" w:hAnsi="Calibri" w:cs="Calibri"/>
        </w:rPr>
      </w:pPr>
      <w:r w:rsidRPr="00AF667A">
        <w:rPr>
          <w:rStyle w:val="normaltextrun"/>
          <w:rFonts w:ascii="Calibri" w:hAnsi="Calibri" w:cs="Calibri"/>
        </w:rPr>
        <w:t>Závažné dekompenzované onemo</w:t>
      </w:r>
      <w:r w:rsidR="00BD2D8C">
        <w:rPr>
          <w:rStyle w:val="normaltextrun"/>
          <w:rFonts w:ascii="Calibri" w:hAnsi="Calibri" w:cs="Calibri"/>
        </w:rPr>
        <w:t xml:space="preserve">cnění srdce (srdeční selhávání a ICHS, zejména stav po AKS a po revaskularizaci, </w:t>
      </w:r>
      <w:r w:rsidRPr="00AF667A">
        <w:rPr>
          <w:rStyle w:val="normaltextrun"/>
          <w:rFonts w:ascii="Calibri" w:hAnsi="Calibri" w:cs="Calibri"/>
        </w:rPr>
        <w:t>kardiomyopatie)</w:t>
      </w:r>
      <w:r w:rsidRPr="00AF667A">
        <w:rPr>
          <w:rStyle w:val="eop"/>
          <w:rFonts w:ascii="Calibri" w:hAnsi="Calibri" w:cs="Calibri"/>
        </w:rPr>
        <w:t> </w:t>
      </w:r>
    </w:p>
    <w:p w14:paraId="09E10D45" w14:textId="3DE9A78F" w:rsidR="00C93F00" w:rsidRPr="00AF667A" w:rsidRDefault="00BD2D8C" w:rsidP="00C93F00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O</w:t>
      </w:r>
      <w:r w:rsidR="00C93F00" w:rsidRPr="00AF667A">
        <w:rPr>
          <w:rStyle w:val="normaltextrun"/>
          <w:rFonts w:ascii="Calibri" w:hAnsi="Calibri" w:cs="Calibri"/>
        </w:rPr>
        <w:t>bezita (BMI </w:t>
      </w:r>
      <w:r w:rsidR="00C93F00" w:rsidRPr="00AF667A">
        <w:rPr>
          <w:rStyle w:val="normaltextrun"/>
          <w:rFonts w:ascii="Calibri" w:hAnsi="Calibri" w:cs="Calibri"/>
          <w:lang w:val="en-US"/>
        </w:rPr>
        <w:t>&gt;</w:t>
      </w:r>
      <w:r w:rsidR="00C93F00" w:rsidRPr="00AF667A"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Calibri" w:hAnsi="Calibri" w:cs="Calibri"/>
        </w:rPr>
        <w:t>35</w:t>
      </w:r>
      <w:r w:rsidR="00C93F00" w:rsidRPr="00AF667A">
        <w:rPr>
          <w:rStyle w:val="normaltextrun"/>
          <w:rFonts w:ascii="Calibri" w:hAnsi="Calibri" w:cs="Calibri"/>
        </w:rPr>
        <w:t xml:space="preserve"> kg/m</w:t>
      </w:r>
      <w:r w:rsidR="00C93F00" w:rsidRPr="00AF667A">
        <w:rPr>
          <w:rStyle w:val="normaltextrun"/>
          <w:rFonts w:ascii="Calibri" w:hAnsi="Calibri" w:cs="Calibri"/>
          <w:vertAlign w:val="superscript"/>
        </w:rPr>
        <w:t>2</w:t>
      </w:r>
      <w:r w:rsidR="00C93F00" w:rsidRPr="00AF667A">
        <w:rPr>
          <w:rStyle w:val="normaltextrun"/>
          <w:rFonts w:ascii="Calibri" w:hAnsi="Calibri" w:cs="Calibri"/>
        </w:rPr>
        <w:t>)</w:t>
      </w:r>
      <w:r w:rsidR="00C93F00" w:rsidRPr="00AF667A">
        <w:rPr>
          <w:rStyle w:val="eop"/>
          <w:rFonts w:ascii="Calibri" w:hAnsi="Calibri" w:cs="Calibri"/>
        </w:rPr>
        <w:t> </w:t>
      </w:r>
    </w:p>
    <w:p w14:paraId="19C6CB43" w14:textId="77777777" w:rsidR="00C93F00" w:rsidRPr="00AF667A" w:rsidRDefault="00C93F00" w:rsidP="00C93F00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libri" w:hAnsi="Calibri" w:cs="Calibri"/>
        </w:rPr>
      </w:pPr>
      <w:r w:rsidRPr="00AF667A">
        <w:rPr>
          <w:rStyle w:val="spellingerror"/>
          <w:rFonts w:ascii="Calibri" w:hAnsi="Calibri" w:cs="Calibri"/>
        </w:rPr>
        <w:t>Hemato</w:t>
      </w:r>
      <w:r w:rsidRPr="00AF667A">
        <w:rPr>
          <w:rStyle w:val="normaltextrun"/>
          <w:rFonts w:ascii="Calibri" w:hAnsi="Calibri" w:cs="Calibri"/>
        </w:rPr>
        <w:t>-onkologické onemocnění</w:t>
      </w:r>
      <w:r w:rsidRPr="00AF667A">
        <w:rPr>
          <w:rStyle w:val="eop"/>
          <w:rFonts w:ascii="Calibri" w:hAnsi="Calibri" w:cs="Calibri"/>
        </w:rPr>
        <w:t> </w:t>
      </w:r>
    </w:p>
    <w:p w14:paraId="7A708FD8" w14:textId="77777777" w:rsidR="00C93F00" w:rsidRPr="00AF667A" w:rsidRDefault="00C93F00" w:rsidP="00C93F00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libri" w:hAnsi="Calibri" w:cs="Calibri"/>
        </w:rPr>
      </w:pPr>
      <w:r w:rsidRPr="00AF667A">
        <w:rPr>
          <w:rStyle w:val="normaltextrun"/>
          <w:rFonts w:ascii="Calibri" w:hAnsi="Calibri" w:cs="Calibri"/>
        </w:rPr>
        <w:t>Závažné onemocnění ledvin a jater</w:t>
      </w:r>
      <w:r w:rsidRPr="00AF667A">
        <w:rPr>
          <w:rStyle w:val="eop"/>
          <w:rFonts w:ascii="Calibri" w:hAnsi="Calibri" w:cs="Calibri"/>
        </w:rPr>
        <w:t> </w:t>
      </w:r>
    </w:p>
    <w:p w14:paraId="4B4B4EC0" w14:textId="77777777" w:rsidR="00C93F00" w:rsidRPr="00AF667A" w:rsidRDefault="00C93F00" w:rsidP="00C93F00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libri" w:hAnsi="Calibri" w:cs="Calibri"/>
        </w:rPr>
      </w:pPr>
      <w:r w:rsidRPr="00AF667A">
        <w:rPr>
          <w:rStyle w:val="normaltextrun"/>
          <w:rFonts w:ascii="Calibri" w:hAnsi="Calibri" w:cs="Calibri"/>
        </w:rPr>
        <w:t>Závažný, farmakologicky řešený diabetes </w:t>
      </w:r>
      <w:r w:rsidRPr="00AF667A">
        <w:rPr>
          <w:rStyle w:val="spellingerror"/>
          <w:rFonts w:ascii="Calibri" w:hAnsi="Calibri" w:cs="Calibri"/>
        </w:rPr>
        <w:t>mellitus</w:t>
      </w:r>
      <w:r w:rsidRPr="00AF667A">
        <w:rPr>
          <w:rStyle w:val="eop"/>
          <w:rFonts w:ascii="Calibri" w:hAnsi="Calibri" w:cs="Calibri"/>
        </w:rPr>
        <w:t> </w:t>
      </w:r>
    </w:p>
    <w:p w14:paraId="2318EA34" w14:textId="77777777" w:rsidR="00C93F00" w:rsidRPr="00AF667A" w:rsidRDefault="00C93F00" w:rsidP="00C93F00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libri" w:hAnsi="Calibri" w:cs="Calibri"/>
        </w:rPr>
      </w:pPr>
      <w:r w:rsidRPr="00AF667A">
        <w:rPr>
          <w:rStyle w:val="normaltextrun"/>
          <w:rFonts w:ascii="Calibri" w:hAnsi="Calibri" w:cs="Calibri"/>
        </w:rPr>
        <w:t>Pacienti po transplantaci solidního orgánu nebo kostní dřeně</w:t>
      </w:r>
      <w:r w:rsidRPr="00AF667A">
        <w:rPr>
          <w:rStyle w:val="eop"/>
          <w:rFonts w:ascii="Calibri" w:hAnsi="Calibri" w:cs="Calibri"/>
        </w:rPr>
        <w:t> </w:t>
      </w:r>
    </w:p>
    <w:p w14:paraId="0DDD8730" w14:textId="7A62C524" w:rsidR="00C93F00" w:rsidRPr="00AF667A" w:rsidRDefault="00C93F00" w:rsidP="00C93F00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libri" w:hAnsi="Calibri" w:cs="Calibri"/>
        </w:rPr>
      </w:pPr>
      <w:r w:rsidRPr="00AF667A">
        <w:rPr>
          <w:rStyle w:val="normaltextrun"/>
          <w:rFonts w:ascii="Calibri" w:hAnsi="Calibri" w:cs="Calibri"/>
        </w:rPr>
        <w:t>Pacienti se vzácným genetickým onemocněním, kteří pro svou intelektovou nedostatečnost nebo vývojové poruchy chovaní, nebo další postižení, </w:t>
      </w:r>
      <w:r w:rsidRPr="00AF667A">
        <w:rPr>
          <w:rStyle w:val="spellingerror"/>
          <w:rFonts w:ascii="Calibri" w:hAnsi="Calibri" w:cs="Calibri"/>
        </w:rPr>
        <w:t>např.</w:t>
      </w:r>
      <w:r w:rsidR="006E1237" w:rsidRPr="00AF667A">
        <w:rPr>
          <w:rStyle w:val="spellingerror"/>
          <w:rFonts w:ascii="Calibri" w:hAnsi="Calibri" w:cs="Calibri"/>
        </w:rPr>
        <w:t xml:space="preserve"> </w:t>
      </w:r>
      <w:r w:rsidRPr="00AF667A">
        <w:rPr>
          <w:rStyle w:val="spellingerror"/>
          <w:rFonts w:ascii="Calibri" w:hAnsi="Calibri" w:cs="Calibri"/>
        </w:rPr>
        <w:t>mobility</w:t>
      </w:r>
      <w:r w:rsidRPr="00AF667A">
        <w:rPr>
          <w:rStyle w:val="normaltextrun"/>
          <w:rFonts w:ascii="Calibri" w:hAnsi="Calibri" w:cs="Calibri"/>
        </w:rPr>
        <w:t> či respiračních funkcí jsou ve zvýšeném riziku závažného průběhu onemocnění covid-19</w:t>
      </w:r>
      <w:r w:rsidRPr="00AF667A">
        <w:rPr>
          <w:rStyle w:val="eop"/>
          <w:rFonts w:ascii="Calibri" w:hAnsi="Calibri" w:cs="Calibri"/>
        </w:rPr>
        <w:t> </w:t>
      </w:r>
    </w:p>
    <w:p w14:paraId="0697FC0E" w14:textId="48781A9A" w:rsidR="00C93F00" w:rsidRPr="00AF667A" w:rsidRDefault="00D529D4" w:rsidP="00C93F00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jc w:val="both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Pacienti s </w:t>
      </w:r>
      <w:r w:rsidR="00C93F00" w:rsidRPr="00AF667A">
        <w:rPr>
          <w:rStyle w:val="normaltextrun"/>
          <w:rFonts w:ascii="Calibri" w:hAnsi="Calibri" w:cs="Calibri"/>
        </w:rPr>
        <w:t>léčbou</w:t>
      </w:r>
      <w:r>
        <w:rPr>
          <w:rStyle w:val="normaltextrun"/>
          <w:rFonts w:ascii="Calibri" w:hAnsi="Calibri" w:cs="Calibri"/>
        </w:rPr>
        <w:t xml:space="preserve"> nebo stavy </w:t>
      </w:r>
      <w:r w:rsidR="00C93F00" w:rsidRPr="00AF667A">
        <w:rPr>
          <w:rStyle w:val="normaltextrun"/>
          <w:rFonts w:ascii="Calibri" w:hAnsi="Calibri" w:cs="Calibri"/>
        </w:rPr>
        <w:t>ovlivňující cíleně imunitní systém</w:t>
      </w:r>
      <w:r w:rsidR="00C93F00" w:rsidRPr="00AF667A">
        <w:rPr>
          <w:rStyle w:val="eop"/>
          <w:rFonts w:ascii="Calibri" w:hAnsi="Calibri" w:cs="Calibri"/>
        </w:rPr>
        <w:t> </w:t>
      </w:r>
      <w:r w:rsidR="00BD2D8C">
        <w:rPr>
          <w:rStyle w:val="eop"/>
          <w:rFonts w:ascii="Calibri" w:hAnsi="Calibri" w:cs="Calibri"/>
        </w:rPr>
        <w:t>(imunosuprese)</w:t>
      </w:r>
    </w:p>
    <w:p w14:paraId="0FAD60BB" w14:textId="77777777" w:rsidR="00C93F00" w:rsidRPr="00AF667A" w:rsidRDefault="00C93F00" w:rsidP="00C93F00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Fonts w:ascii="Calibri" w:hAnsi="Calibri" w:cs="Calibri"/>
        </w:rPr>
      </w:pPr>
    </w:p>
    <w:p w14:paraId="0964AFE4" w14:textId="704C3574" w:rsidR="00C93F00" w:rsidRPr="00AF667A" w:rsidRDefault="00C93F00" w:rsidP="00C93F00">
      <w:pPr>
        <w:pStyle w:val="paragraph"/>
        <w:numPr>
          <w:ilvl w:val="0"/>
          <w:numId w:val="12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  <w:jc w:val="both"/>
        <w:textAlignment w:val="baseline"/>
        <w:rPr>
          <w:rFonts w:ascii="Calibri" w:hAnsi="Calibri" w:cs="Calibri"/>
          <w:b/>
        </w:rPr>
      </w:pPr>
      <w:r w:rsidRPr="00AF667A">
        <w:rPr>
          <w:rStyle w:val="normaltextrun"/>
          <w:rFonts w:ascii="Calibri" w:hAnsi="Calibri" w:cs="Calibri"/>
          <w:b/>
        </w:rPr>
        <w:t xml:space="preserve">Zdravotničtí pracovníci a pracovníci orgánů ochrany veřejného zdraví </w:t>
      </w:r>
    </w:p>
    <w:p w14:paraId="76BC7C04" w14:textId="77777777" w:rsidR="00C93F00" w:rsidRPr="00AF667A" w:rsidRDefault="00C93F00" w:rsidP="00C93F00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libri" w:hAnsi="Calibri" w:cs="Calibri"/>
        </w:rPr>
      </w:pPr>
      <w:r w:rsidRPr="00AF667A">
        <w:rPr>
          <w:rStyle w:val="normaltextrun"/>
          <w:rFonts w:ascii="Calibri" w:hAnsi="Calibri" w:cs="Calibri"/>
        </w:rPr>
        <w:t>Oddělení ARO, JIP</w:t>
      </w:r>
      <w:r w:rsidRPr="00AF667A">
        <w:rPr>
          <w:rStyle w:val="eop"/>
          <w:rFonts w:ascii="Calibri" w:hAnsi="Calibri" w:cs="Calibri"/>
        </w:rPr>
        <w:t> </w:t>
      </w:r>
    </w:p>
    <w:p w14:paraId="37EE9C84" w14:textId="77777777" w:rsidR="00C93F00" w:rsidRPr="00AF667A" w:rsidRDefault="00C93F00" w:rsidP="00C93F00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libri" w:hAnsi="Calibri" w:cs="Calibri"/>
        </w:rPr>
      </w:pPr>
      <w:r w:rsidRPr="00AF667A">
        <w:rPr>
          <w:rStyle w:val="normaltextrun"/>
          <w:rFonts w:ascii="Calibri" w:hAnsi="Calibri" w:cs="Calibri"/>
        </w:rPr>
        <w:t>Urgentní příjem</w:t>
      </w:r>
      <w:r w:rsidRPr="00AF667A">
        <w:rPr>
          <w:rStyle w:val="eop"/>
          <w:rFonts w:ascii="Calibri" w:hAnsi="Calibri" w:cs="Calibri"/>
        </w:rPr>
        <w:t> </w:t>
      </w:r>
    </w:p>
    <w:p w14:paraId="57F73F8E" w14:textId="77777777" w:rsidR="00C93F00" w:rsidRPr="00AF667A" w:rsidRDefault="00C93F00" w:rsidP="00C93F00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libri" w:hAnsi="Calibri" w:cs="Calibri"/>
        </w:rPr>
      </w:pPr>
      <w:r w:rsidRPr="00AF667A">
        <w:rPr>
          <w:rStyle w:val="normaltextrun"/>
          <w:rFonts w:ascii="Calibri" w:hAnsi="Calibri" w:cs="Calibri"/>
        </w:rPr>
        <w:t>Zdravotnická záchranná služba</w:t>
      </w:r>
      <w:r w:rsidRPr="00AF667A">
        <w:rPr>
          <w:rStyle w:val="eop"/>
          <w:rFonts w:ascii="Calibri" w:hAnsi="Calibri" w:cs="Calibri"/>
        </w:rPr>
        <w:t> </w:t>
      </w:r>
    </w:p>
    <w:p w14:paraId="434E0EFD" w14:textId="77777777" w:rsidR="00C93F00" w:rsidRPr="00AF667A" w:rsidRDefault="00C93F00" w:rsidP="00C93F00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libri" w:hAnsi="Calibri" w:cs="Calibri"/>
        </w:rPr>
      </w:pPr>
      <w:r w:rsidRPr="00AF667A">
        <w:rPr>
          <w:rStyle w:val="normaltextrun"/>
          <w:rFonts w:ascii="Calibri" w:hAnsi="Calibri" w:cs="Calibri"/>
        </w:rPr>
        <w:t>Infekční oddělení</w:t>
      </w:r>
      <w:r w:rsidRPr="00AF667A">
        <w:rPr>
          <w:rStyle w:val="eop"/>
          <w:rFonts w:ascii="Calibri" w:hAnsi="Calibri" w:cs="Calibri"/>
        </w:rPr>
        <w:t> </w:t>
      </w:r>
    </w:p>
    <w:p w14:paraId="62E5D34A" w14:textId="77777777" w:rsidR="006C774D" w:rsidRPr="00781AF1" w:rsidRDefault="006C774D" w:rsidP="00781AF1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</w:rPr>
      </w:pPr>
      <w:r w:rsidRPr="00AF667A">
        <w:rPr>
          <w:rStyle w:val="normaltextrun"/>
          <w:rFonts w:ascii="Calibri" w:hAnsi="Calibri" w:cs="Calibri"/>
        </w:rPr>
        <w:t>Plicní oddělení, lůžková interní a kardiologická oddělení, lékaři otorinolaryngologie a chirurgie hlavy a krku</w:t>
      </w:r>
      <w:r w:rsidRPr="00781AF1">
        <w:rPr>
          <w:rStyle w:val="normaltextrun"/>
        </w:rPr>
        <w:t> </w:t>
      </w:r>
    </w:p>
    <w:p w14:paraId="7275D209" w14:textId="714471B1" w:rsidR="00C93F00" w:rsidRDefault="00C93F00" w:rsidP="00C93F00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jc w:val="both"/>
        <w:textAlignment w:val="baseline"/>
        <w:rPr>
          <w:rStyle w:val="eop"/>
          <w:rFonts w:ascii="Calibri" w:hAnsi="Calibri" w:cs="Calibri"/>
        </w:rPr>
      </w:pPr>
      <w:r w:rsidRPr="00AF667A">
        <w:rPr>
          <w:rStyle w:val="normaltextrun"/>
          <w:rFonts w:ascii="Calibri" w:hAnsi="Calibri" w:cs="Calibri"/>
        </w:rPr>
        <w:t>Všeobecní praktičtí lékaři, praktičtí lékaři pro děti a dorost </w:t>
      </w:r>
      <w:r w:rsidRPr="00AF667A">
        <w:rPr>
          <w:rStyle w:val="eop"/>
          <w:rFonts w:ascii="Calibri" w:hAnsi="Calibri" w:cs="Calibri"/>
        </w:rPr>
        <w:t> </w:t>
      </w:r>
    </w:p>
    <w:p w14:paraId="69CA99CB" w14:textId="012B7A2F" w:rsidR="00BD2D8C" w:rsidRPr="00AF667A" w:rsidRDefault="00BD2D8C" w:rsidP="00C93F00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Geriatrická oddělení, léčebny dlouhodobě nemocných</w:t>
      </w:r>
    </w:p>
    <w:p w14:paraId="2D07A652" w14:textId="7C81F141" w:rsidR="00C93F00" w:rsidRPr="00AF667A" w:rsidRDefault="00C93F00" w:rsidP="00C93F00">
      <w:pPr>
        <w:pStyle w:val="paragraph"/>
        <w:numPr>
          <w:ilvl w:val="0"/>
          <w:numId w:val="19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libri" w:hAnsi="Calibri" w:cs="Calibri"/>
        </w:rPr>
      </w:pPr>
      <w:r w:rsidRPr="00AF667A">
        <w:rPr>
          <w:rStyle w:val="normaltextrun"/>
          <w:rFonts w:ascii="Calibri" w:hAnsi="Calibri" w:cs="Calibri"/>
        </w:rPr>
        <w:lastRenderedPageBreak/>
        <w:t xml:space="preserve">Pracovníci orgánů ochrany veřejného zdraví provádějící epidemiologická </w:t>
      </w:r>
      <w:r w:rsidR="006C774D" w:rsidRPr="00AF667A">
        <w:rPr>
          <w:rStyle w:val="normaltextrun"/>
          <w:rFonts w:ascii="Calibri" w:hAnsi="Calibri" w:cs="Calibri"/>
        </w:rPr>
        <w:t>šetření</w:t>
      </w:r>
      <w:r w:rsidR="006F12EA">
        <w:rPr>
          <w:rStyle w:val="normaltextrun"/>
          <w:rFonts w:ascii="Calibri" w:hAnsi="Calibri" w:cs="Calibri"/>
        </w:rPr>
        <w:t xml:space="preserve"> v ohnisku nákazy</w:t>
      </w:r>
    </w:p>
    <w:p w14:paraId="198465CB" w14:textId="12FDD842" w:rsidR="00C93F00" w:rsidRDefault="00781AF1" w:rsidP="00C93F00">
      <w:pPr>
        <w:pStyle w:val="paragraph"/>
        <w:numPr>
          <w:ilvl w:val="0"/>
          <w:numId w:val="20"/>
        </w:numPr>
        <w:spacing w:before="0" w:beforeAutospacing="0" w:after="0" w:afterAutospacing="0"/>
        <w:ind w:left="1080" w:firstLine="0"/>
        <w:jc w:val="both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</w:t>
      </w:r>
      <w:r w:rsidR="00C93F00" w:rsidRPr="00AF667A">
        <w:rPr>
          <w:rStyle w:val="normaltextrun"/>
          <w:rFonts w:ascii="Calibri" w:hAnsi="Calibri" w:cs="Calibri"/>
        </w:rPr>
        <w:t xml:space="preserve">racovníci </w:t>
      </w:r>
      <w:r>
        <w:rPr>
          <w:rStyle w:val="normaltextrun"/>
          <w:rFonts w:ascii="Calibri" w:hAnsi="Calibri" w:cs="Calibri"/>
        </w:rPr>
        <w:t xml:space="preserve">odebírají a </w:t>
      </w:r>
      <w:r w:rsidR="00C93F00" w:rsidRPr="00AF667A">
        <w:rPr>
          <w:rStyle w:val="normaltextrun"/>
          <w:rFonts w:ascii="Calibri" w:hAnsi="Calibri" w:cs="Calibri"/>
        </w:rPr>
        <w:t xml:space="preserve">zpracovávající biologické vzorky k vyšetření na </w:t>
      </w:r>
      <w:r w:rsidR="00343E21" w:rsidRPr="00E62A3D">
        <w:rPr>
          <w:rStyle w:val="normaltextrun"/>
          <w:rFonts w:ascii="Calibri" w:hAnsi="Calibri" w:cs="Calibri"/>
        </w:rPr>
        <w:t>COVID</w:t>
      </w:r>
      <w:r w:rsidR="00C93F00" w:rsidRPr="00E62A3D">
        <w:rPr>
          <w:rStyle w:val="normaltextrun"/>
          <w:rFonts w:ascii="Calibri" w:hAnsi="Calibri" w:cs="Calibri"/>
        </w:rPr>
        <w:t>-19 </w:t>
      </w:r>
      <w:r w:rsidR="00C93F00" w:rsidRPr="00E62A3D">
        <w:rPr>
          <w:rStyle w:val="eop"/>
          <w:rFonts w:ascii="Calibri" w:hAnsi="Calibri" w:cs="Calibri"/>
        </w:rPr>
        <w:t> </w:t>
      </w:r>
    </w:p>
    <w:p w14:paraId="0ADDE9D8" w14:textId="63CD9A66" w:rsidR="00EC1249" w:rsidRPr="00E62A3D" w:rsidRDefault="00DF6B9A" w:rsidP="00C93F00">
      <w:pPr>
        <w:pStyle w:val="paragraph"/>
        <w:numPr>
          <w:ilvl w:val="0"/>
          <w:numId w:val="20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>Ostatní zdravotničtí pracovníci,</w:t>
      </w:r>
      <w:r w:rsidR="00EC1249">
        <w:rPr>
          <w:rStyle w:val="eop"/>
          <w:rFonts w:ascii="Calibri" w:hAnsi="Calibri" w:cs="Calibri"/>
        </w:rPr>
        <w:t xml:space="preserve"> zubní lékaři</w:t>
      </w:r>
      <w:r>
        <w:rPr>
          <w:rStyle w:val="eop"/>
          <w:rFonts w:ascii="Calibri" w:hAnsi="Calibri" w:cs="Calibri"/>
        </w:rPr>
        <w:t>, farmaceuti.</w:t>
      </w:r>
    </w:p>
    <w:p w14:paraId="0741D399" w14:textId="191A2B5E" w:rsidR="00C93F00" w:rsidRPr="00AF667A" w:rsidRDefault="00C93F00" w:rsidP="00EA0C0C">
      <w:pPr>
        <w:pStyle w:val="paragraph"/>
        <w:numPr>
          <w:ilvl w:val="0"/>
          <w:numId w:val="21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textAlignment w:val="baseline"/>
        <w:rPr>
          <w:rFonts w:ascii="Calibri" w:hAnsi="Calibri" w:cs="Calibri"/>
          <w:b/>
        </w:rPr>
      </w:pPr>
      <w:r w:rsidRPr="00AF667A">
        <w:rPr>
          <w:rStyle w:val="normaltextrun"/>
          <w:rFonts w:ascii="Calibri" w:hAnsi="Calibri" w:cs="Calibri"/>
          <w:b/>
        </w:rPr>
        <w:t xml:space="preserve">Pracovníci a </w:t>
      </w:r>
      <w:r w:rsidR="00EC1249">
        <w:rPr>
          <w:rStyle w:val="normaltextrun"/>
          <w:rFonts w:ascii="Calibri" w:hAnsi="Calibri" w:cs="Calibri"/>
          <w:b/>
        </w:rPr>
        <w:t>uživatelé pobytových a odlehčovacích sociálních služeb</w:t>
      </w:r>
      <w:r w:rsidRPr="00AF667A">
        <w:rPr>
          <w:rStyle w:val="normaltextrun"/>
          <w:rFonts w:ascii="Calibri" w:hAnsi="Calibri" w:cs="Calibri"/>
          <w:b/>
        </w:rPr>
        <w:t>, poskytovatelé domácí zdravotní péče</w:t>
      </w:r>
      <w:r w:rsidRPr="00AF667A">
        <w:rPr>
          <w:rStyle w:val="eop"/>
          <w:rFonts w:ascii="Calibri" w:hAnsi="Calibri" w:cs="Calibri"/>
          <w:b/>
        </w:rPr>
        <w:t> </w:t>
      </w:r>
    </w:p>
    <w:p w14:paraId="3713249C" w14:textId="42B358E4" w:rsidR="00DF6B9A" w:rsidRDefault="00C93F00" w:rsidP="00DF6B9A">
      <w:pPr>
        <w:pStyle w:val="paragraph"/>
        <w:numPr>
          <w:ilvl w:val="0"/>
          <w:numId w:val="25"/>
        </w:numPr>
        <w:tabs>
          <w:tab w:val="num" w:pos="426"/>
        </w:tabs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</w:rPr>
      </w:pPr>
      <w:r w:rsidRPr="00DF6B9A">
        <w:rPr>
          <w:rStyle w:val="normaltextrun"/>
          <w:rFonts w:ascii="Calibri" w:hAnsi="Calibri" w:cs="Calibri"/>
          <w:b/>
        </w:rPr>
        <w:t>Pracovníci kritické infrastruktury </w:t>
      </w:r>
      <w:r w:rsidR="00D31DEC">
        <w:rPr>
          <w:rStyle w:val="normaltextrun"/>
          <w:rFonts w:ascii="Calibri" w:hAnsi="Calibri" w:cs="Calibri"/>
          <w:b/>
        </w:rPr>
        <w:t>dle zákona č. 240/2000 Sb., o krizovém řízení a o změně některých zákonu (krizový zákon) a</w:t>
      </w:r>
      <w:r w:rsidR="00EA0C0C">
        <w:rPr>
          <w:rStyle w:val="normaltextrun"/>
          <w:rFonts w:ascii="Calibri" w:hAnsi="Calibri" w:cs="Calibri"/>
          <w:b/>
        </w:rPr>
        <w:t xml:space="preserve"> </w:t>
      </w:r>
      <w:r w:rsidR="00EA0C0C" w:rsidRPr="00EA0C0C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n</w:t>
      </w:r>
      <w:r w:rsidR="00D31DEC" w:rsidRPr="00EA0C0C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ařízení vlády </w:t>
      </w:r>
      <w:r w:rsidR="00EA0C0C" w:rsidRPr="00EA0C0C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č. </w:t>
      </w:r>
      <w:r w:rsidR="00EA0C0C" w:rsidRPr="00EA0C0C">
        <w:rPr>
          <w:rStyle w:val="normaltextrun"/>
          <w:rFonts w:asciiTheme="minorHAnsi" w:hAnsiTheme="minorHAnsi" w:cstheme="minorHAnsi"/>
          <w:b/>
          <w:bCs/>
        </w:rPr>
        <w:t xml:space="preserve">432/2010 Sb., </w:t>
      </w:r>
      <w:r w:rsidR="00D31DEC" w:rsidRPr="00EA0C0C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o kritériích pro určení prvku kritické infrastruktury</w:t>
      </w:r>
      <w:r w:rsidR="00EA0C0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DF6B9A">
        <w:rPr>
          <w:rStyle w:val="normaltextrun"/>
          <w:rFonts w:ascii="Calibri" w:hAnsi="Calibri" w:cs="Calibri"/>
          <w:b/>
        </w:rPr>
        <w:t xml:space="preserve">– integrovaných záchranný systém, pracovníci energetiky, vláda, krizové štáby, </w:t>
      </w:r>
      <w:r w:rsidR="00DF6B9A" w:rsidRPr="00DF6B9A">
        <w:rPr>
          <w:rStyle w:val="normaltextrun"/>
          <w:rFonts w:ascii="Calibri" w:hAnsi="Calibri" w:cs="Calibri"/>
          <w:b/>
        </w:rPr>
        <w:t xml:space="preserve">armáda, </w:t>
      </w:r>
      <w:r w:rsidRPr="00DF6B9A">
        <w:rPr>
          <w:rStyle w:val="normaltextrun"/>
          <w:rFonts w:ascii="Calibri" w:hAnsi="Calibri" w:cs="Calibri"/>
          <w:b/>
        </w:rPr>
        <w:t>pedagogičtí pracov</w:t>
      </w:r>
      <w:r w:rsidR="00DF6B9A">
        <w:rPr>
          <w:rStyle w:val="normaltextrun"/>
          <w:rFonts w:ascii="Calibri" w:hAnsi="Calibri" w:cs="Calibri"/>
          <w:b/>
        </w:rPr>
        <w:t>níci</w:t>
      </w:r>
      <w:r w:rsidR="00EA0C0C">
        <w:rPr>
          <w:rStyle w:val="normaltextrun"/>
          <w:rFonts w:ascii="Calibri" w:hAnsi="Calibri" w:cs="Calibri"/>
          <w:b/>
        </w:rPr>
        <w:t xml:space="preserve"> a další</w:t>
      </w:r>
    </w:p>
    <w:p w14:paraId="5A3646A5" w14:textId="5D94F8A1" w:rsidR="00DF6B9A" w:rsidRPr="00DF6B9A" w:rsidRDefault="006C774D" w:rsidP="00EE6C52">
      <w:pPr>
        <w:pStyle w:val="paragraph"/>
        <w:numPr>
          <w:ilvl w:val="0"/>
          <w:numId w:val="25"/>
        </w:numPr>
        <w:tabs>
          <w:tab w:val="num" w:pos="426"/>
        </w:tabs>
        <w:spacing w:before="0" w:beforeAutospacing="0" w:after="0" w:afterAutospacing="0"/>
        <w:ind w:left="0" w:firstLine="0"/>
        <w:jc w:val="both"/>
        <w:textAlignment w:val="baseline"/>
        <w:rPr>
          <w:rStyle w:val="normaltextrun"/>
          <w:rFonts w:ascii="Calibri" w:hAnsi="Calibri" w:cs="Calibri"/>
          <w:b/>
        </w:rPr>
      </w:pPr>
      <w:r w:rsidRPr="00DF6B9A">
        <w:rPr>
          <w:rStyle w:val="normaltextrun"/>
          <w:rFonts w:ascii="Calibri" w:hAnsi="Calibri" w:cs="Calibri"/>
          <w:b/>
        </w:rPr>
        <w:t>Ostatní pracovníci orgánů ochrany veřejného zdraví</w:t>
      </w:r>
      <w:r w:rsidR="004348FB" w:rsidRPr="00DF6B9A">
        <w:rPr>
          <w:rStyle w:val="normaltextrun"/>
          <w:rFonts w:ascii="Calibri" w:hAnsi="Calibri" w:cs="Calibri"/>
          <w:b/>
        </w:rPr>
        <w:t xml:space="preserve"> provádějící výkon státního zdravotního dozoru</w:t>
      </w:r>
      <w:r w:rsidR="00781AF1" w:rsidRPr="00DF6B9A">
        <w:rPr>
          <w:rStyle w:val="normaltextrun"/>
          <w:rFonts w:ascii="Calibri" w:hAnsi="Calibri" w:cs="Calibri"/>
          <w:b/>
        </w:rPr>
        <w:t>,</w:t>
      </w:r>
      <w:r w:rsidR="004348FB" w:rsidRPr="00DF6B9A">
        <w:rPr>
          <w:rStyle w:val="normaltextrun"/>
          <w:rFonts w:ascii="Calibri" w:hAnsi="Calibri" w:cs="Calibri"/>
          <w:b/>
        </w:rPr>
        <w:t xml:space="preserve"> zaměstnanci dalších orgánů státní správy vykonávajících kontrolní činnost (např. SZPI, SVS ČR, ČIŽP, ČOI apod.)</w:t>
      </w:r>
    </w:p>
    <w:p w14:paraId="2DBC17EA" w14:textId="31426A97" w:rsidR="00C93F00" w:rsidRPr="00DF6B9A" w:rsidRDefault="00DF6B9A" w:rsidP="00127CA7">
      <w:pPr>
        <w:pStyle w:val="paragraph"/>
        <w:numPr>
          <w:ilvl w:val="0"/>
          <w:numId w:val="25"/>
        </w:numPr>
        <w:tabs>
          <w:tab w:val="num" w:pos="426"/>
        </w:tabs>
        <w:spacing w:before="0" w:beforeAutospacing="0" w:after="0" w:afterAutospacing="0"/>
        <w:ind w:left="0" w:firstLine="0"/>
        <w:jc w:val="both"/>
        <w:textAlignment w:val="baseline"/>
        <w:rPr>
          <w:rFonts w:ascii="Calibri" w:hAnsi="Calibri" w:cs="Calibri"/>
          <w:b/>
        </w:rPr>
      </w:pPr>
      <w:r>
        <w:rPr>
          <w:rStyle w:val="normaltextrun"/>
          <w:rFonts w:ascii="Calibri" w:hAnsi="Calibri" w:cs="Calibri"/>
          <w:b/>
        </w:rPr>
        <w:t>D</w:t>
      </w:r>
      <w:r w:rsidR="004348FB" w:rsidRPr="00DF6B9A">
        <w:rPr>
          <w:rStyle w:val="normaltextrun"/>
          <w:rFonts w:ascii="Calibri" w:hAnsi="Calibri" w:cs="Calibri"/>
          <w:b/>
        </w:rPr>
        <w:t>alší pojištěnci, kteří mají zájem o očkování</w:t>
      </w:r>
    </w:p>
    <w:p w14:paraId="100245C0" w14:textId="633C4D92" w:rsidR="004348FB" w:rsidRDefault="004348FB" w:rsidP="00EA0C0C">
      <w:pPr>
        <w:pStyle w:val="Textkomente"/>
        <w:jc w:val="both"/>
      </w:pPr>
      <w:r w:rsidRPr="00D31DEC">
        <w:rPr>
          <w:sz w:val="24"/>
          <w:szCs w:val="24"/>
        </w:rPr>
        <w:t>Skupiny pojištěnců a lhůty pro očkování jednotlivých skupin pojištěnců stanoví vlád</w:t>
      </w:r>
      <w:r w:rsidR="00EA0C0C">
        <w:rPr>
          <w:sz w:val="24"/>
          <w:szCs w:val="24"/>
        </w:rPr>
        <w:t>a</w:t>
      </w:r>
      <w:r w:rsidRPr="00D31DEC">
        <w:rPr>
          <w:sz w:val="24"/>
          <w:szCs w:val="24"/>
        </w:rPr>
        <w:t xml:space="preserve"> nařízením, a to na základě návrhu novely zákona č. 48/1997 Sb., který toto zmocnění obsahuje. Návrh novely zákona č. 48/1997 Sb., je v současné době v legislativním procesu</w:t>
      </w:r>
      <w:r>
        <w:t>.</w:t>
      </w:r>
    </w:p>
    <w:p w14:paraId="071B7362" w14:textId="7C9D07F5" w:rsidR="00FA2A14" w:rsidRPr="00FA2A14" w:rsidRDefault="00897DCE" w:rsidP="00FA2A14">
      <w:pPr>
        <w:pStyle w:val="Nadpis1"/>
      </w:pPr>
      <w:bookmarkStart w:id="11" w:name="_Toc58138521"/>
      <w:r>
        <w:rPr>
          <w:caps w:val="0"/>
        </w:rPr>
        <w:t>9</w:t>
      </w:r>
      <w:r w:rsidR="00FA2A14" w:rsidRPr="00FA2A14">
        <w:rPr>
          <w:caps w:val="0"/>
        </w:rPr>
        <w:t>.</w:t>
      </w:r>
      <w:r w:rsidR="005D597E">
        <w:rPr>
          <w:caps w:val="0"/>
        </w:rPr>
        <w:t xml:space="preserve"> </w:t>
      </w:r>
      <w:r w:rsidR="00FA2A14" w:rsidRPr="00FA2A14">
        <w:rPr>
          <w:caps w:val="0"/>
        </w:rPr>
        <w:t>FÁZE OČKOVÁNÍ</w:t>
      </w:r>
      <w:bookmarkEnd w:id="11"/>
    </w:p>
    <w:p w14:paraId="432632C5" w14:textId="77777777" w:rsidR="00FA2A14" w:rsidRDefault="00FA2A14" w:rsidP="00FA2A1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</w:rPr>
      </w:pPr>
    </w:p>
    <w:p w14:paraId="2B7683F0" w14:textId="77777777" w:rsidR="00FA2A14" w:rsidRDefault="00FA2A14" w:rsidP="00FA2A1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  <w:r w:rsidRPr="00AF667A">
        <w:rPr>
          <w:rStyle w:val="normaltextrun"/>
          <w:rFonts w:ascii="Calibri" w:hAnsi="Calibri" w:cs="Calibri"/>
        </w:rPr>
        <w:t xml:space="preserve">V návaznosti na postupné dodávky vakcín do ČR se počítá s očkováním prioritních indikačních skupin, zejména v iniciálních fázích očkování. Podle množství dodaných dávek, pak očkování bude probíhat v několika </w:t>
      </w:r>
      <w:r>
        <w:rPr>
          <w:rStyle w:val="normaltextrun"/>
          <w:rFonts w:ascii="Calibri" w:hAnsi="Calibri" w:cs="Calibri"/>
        </w:rPr>
        <w:t>fázích</w:t>
      </w:r>
      <w:r w:rsidRPr="00AF667A">
        <w:rPr>
          <w:rStyle w:val="normaltextrun"/>
          <w:rFonts w:ascii="Calibri" w:hAnsi="Calibri" w:cs="Calibri"/>
        </w:rPr>
        <w:t>.</w:t>
      </w:r>
      <w:r w:rsidRPr="00AF667A">
        <w:rPr>
          <w:rStyle w:val="eop"/>
          <w:rFonts w:ascii="Calibri" w:hAnsi="Calibri" w:cs="Calibri"/>
        </w:rPr>
        <w:t> </w:t>
      </w:r>
    </w:p>
    <w:p w14:paraId="13DC0584" w14:textId="77777777" w:rsidR="00FA2A14" w:rsidRDefault="00FA2A14" w:rsidP="00FA2A14">
      <w:pPr>
        <w:pStyle w:val="Zkladntext"/>
        <w:spacing w:after="0" w:line="286" w:lineRule="auto"/>
      </w:pPr>
      <w:r>
        <w:rPr>
          <w:noProof/>
          <w:lang w:eastAsia="cs-CZ"/>
        </w:rPr>
        <w:drawing>
          <wp:inline distT="0" distB="0" distL="0" distR="0" wp14:anchorId="0A85EAAC" wp14:editId="4C8FDE12">
            <wp:extent cx="5809615" cy="3295650"/>
            <wp:effectExtent l="19050" t="0" r="19685" b="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34258ED3" w14:textId="69D7CB96" w:rsidR="00C93F00" w:rsidRPr="00AF667A" w:rsidRDefault="00C93F00" w:rsidP="00C93F00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Segoe UI"/>
        </w:rPr>
      </w:pPr>
      <w:r w:rsidRPr="00AF667A">
        <w:rPr>
          <w:rStyle w:val="normaltextrun"/>
          <w:rFonts w:ascii="Calibri" w:hAnsi="Calibri" w:cs="Calibri"/>
        </w:rPr>
        <w:t>V návaznosti na dostupnost registrované vakcíny v ČR je možné plánovat očkování v několika etapách, podle množství dávek vakcíny, které se podaří zajistit/nakoupit.</w:t>
      </w:r>
      <w:r w:rsidRPr="00AF667A">
        <w:rPr>
          <w:rStyle w:val="eop"/>
          <w:rFonts w:ascii="Calibri" w:hAnsi="Calibri" w:cs="Calibri"/>
        </w:rPr>
        <w:t> </w:t>
      </w:r>
    </w:p>
    <w:p w14:paraId="1FE50C8C" w14:textId="3FAD5B7E" w:rsidR="00C93F00" w:rsidRPr="00AF667A" w:rsidRDefault="00C93F00" w:rsidP="00C93F00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Segoe UI"/>
        </w:rPr>
      </w:pPr>
      <w:r w:rsidRPr="00AF667A">
        <w:rPr>
          <w:rStyle w:val="normaltextrun"/>
          <w:rFonts w:ascii="Calibri" w:hAnsi="Calibri" w:cs="Calibri"/>
        </w:rPr>
        <w:lastRenderedPageBreak/>
        <w:t>První </w:t>
      </w:r>
      <w:r w:rsidR="002F056E">
        <w:rPr>
          <w:rStyle w:val="normaltextrun"/>
          <w:rFonts w:ascii="Calibri" w:hAnsi="Calibri" w:cs="Calibri"/>
        </w:rPr>
        <w:t xml:space="preserve">fáze </w:t>
      </w:r>
      <w:r w:rsidRPr="00AF667A">
        <w:rPr>
          <w:rStyle w:val="normaltextrun"/>
          <w:rFonts w:ascii="Calibri" w:hAnsi="Calibri" w:cs="Calibri"/>
        </w:rPr>
        <w:t>očkování</w:t>
      </w:r>
      <w:r w:rsidR="002F056E">
        <w:rPr>
          <w:rStyle w:val="normaltextrun"/>
          <w:rFonts w:ascii="Calibri" w:hAnsi="Calibri" w:cs="Calibri"/>
        </w:rPr>
        <w:t xml:space="preserve"> (fáze I A)</w:t>
      </w:r>
      <w:r w:rsidRPr="00AF667A">
        <w:rPr>
          <w:rStyle w:val="normaltextrun"/>
          <w:rFonts w:ascii="Calibri" w:hAnsi="Calibri" w:cs="Calibri"/>
        </w:rPr>
        <w:t>: prioritní indikační skupiny 1 – 3.</w:t>
      </w:r>
      <w:r w:rsidRPr="00AF667A">
        <w:rPr>
          <w:rStyle w:val="eop"/>
          <w:rFonts w:ascii="Calibri" w:hAnsi="Calibri" w:cs="Calibri"/>
        </w:rPr>
        <w:t> </w:t>
      </w:r>
    </w:p>
    <w:p w14:paraId="311F0CCF" w14:textId="0277481A" w:rsidR="00C93F00" w:rsidRPr="00AF667A" w:rsidRDefault="00C93F00" w:rsidP="00C93F00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Segoe UI"/>
        </w:rPr>
      </w:pPr>
      <w:r w:rsidRPr="00AF667A">
        <w:rPr>
          <w:rStyle w:val="normaltextrun"/>
          <w:rFonts w:ascii="Calibri" w:hAnsi="Calibri" w:cs="Calibri"/>
        </w:rPr>
        <w:t>Druhá </w:t>
      </w:r>
      <w:r w:rsidR="002F056E">
        <w:rPr>
          <w:rStyle w:val="normaltextrun"/>
          <w:rFonts w:ascii="Calibri" w:hAnsi="Calibri" w:cs="Calibri"/>
        </w:rPr>
        <w:t>fáze</w:t>
      </w:r>
      <w:r w:rsidRPr="00AF667A">
        <w:rPr>
          <w:rStyle w:val="normaltextrun"/>
          <w:rFonts w:ascii="Calibri" w:hAnsi="Calibri" w:cs="Calibri"/>
        </w:rPr>
        <w:t> očkování</w:t>
      </w:r>
      <w:r w:rsidR="002F056E">
        <w:rPr>
          <w:rStyle w:val="normaltextrun"/>
          <w:rFonts w:ascii="Calibri" w:hAnsi="Calibri" w:cs="Calibri"/>
        </w:rPr>
        <w:t xml:space="preserve"> (fáze I B)</w:t>
      </w:r>
      <w:r w:rsidRPr="00AF667A">
        <w:rPr>
          <w:rStyle w:val="normaltextrun"/>
          <w:rFonts w:ascii="Calibri" w:hAnsi="Calibri" w:cs="Calibri"/>
        </w:rPr>
        <w:t>: prioritní indikační skupiny 4 – </w:t>
      </w:r>
      <w:r w:rsidR="00DF6B9A">
        <w:rPr>
          <w:rStyle w:val="normaltextrun"/>
          <w:rFonts w:ascii="Calibri" w:hAnsi="Calibri" w:cs="Calibri"/>
        </w:rPr>
        <w:t>5</w:t>
      </w:r>
      <w:r w:rsidRPr="00AF667A">
        <w:rPr>
          <w:rStyle w:val="normaltextrun"/>
          <w:rFonts w:ascii="Calibri" w:hAnsi="Calibri" w:cs="Calibri"/>
        </w:rPr>
        <w:t>.</w:t>
      </w:r>
      <w:r w:rsidRPr="00AF667A">
        <w:rPr>
          <w:rStyle w:val="eop"/>
          <w:rFonts w:ascii="Calibri" w:hAnsi="Calibri" w:cs="Calibri"/>
        </w:rPr>
        <w:t> </w:t>
      </w:r>
    </w:p>
    <w:p w14:paraId="0F3B32A6" w14:textId="281C31EA" w:rsidR="00C93F00" w:rsidRPr="00AF667A" w:rsidRDefault="00C93F00" w:rsidP="00C93F00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Segoe UI"/>
        </w:rPr>
      </w:pPr>
      <w:r w:rsidRPr="00AF667A">
        <w:rPr>
          <w:rStyle w:val="normaltextrun"/>
          <w:rFonts w:ascii="Calibri" w:hAnsi="Calibri" w:cs="Calibri"/>
        </w:rPr>
        <w:t xml:space="preserve">Třetí </w:t>
      </w:r>
      <w:r w:rsidR="002F056E">
        <w:rPr>
          <w:rStyle w:val="normaltextrun"/>
          <w:rFonts w:ascii="Calibri" w:hAnsi="Calibri" w:cs="Calibri"/>
        </w:rPr>
        <w:t xml:space="preserve">fáze </w:t>
      </w:r>
      <w:r w:rsidRPr="00AF667A">
        <w:rPr>
          <w:rStyle w:val="normaltextrun"/>
          <w:rFonts w:ascii="Calibri" w:hAnsi="Calibri" w:cs="Calibri"/>
        </w:rPr>
        <w:t>očkování</w:t>
      </w:r>
      <w:r w:rsidR="002F056E">
        <w:rPr>
          <w:rStyle w:val="normaltextrun"/>
          <w:rFonts w:ascii="Calibri" w:hAnsi="Calibri" w:cs="Calibri"/>
        </w:rPr>
        <w:t xml:space="preserve"> (fáze II)</w:t>
      </w:r>
      <w:r w:rsidR="00DF6B9A">
        <w:rPr>
          <w:rStyle w:val="normaltextrun"/>
          <w:rFonts w:ascii="Calibri" w:hAnsi="Calibri" w:cs="Calibri"/>
        </w:rPr>
        <w:t>: indikační skupina 6</w:t>
      </w:r>
      <w:r w:rsidRPr="00AF667A">
        <w:rPr>
          <w:rStyle w:val="normaltextrun"/>
          <w:rFonts w:ascii="Calibri" w:hAnsi="Calibri" w:cs="Calibri"/>
        </w:rPr>
        <w:t>.</w:t>
      </w:r>
      <w:r w:rsidRPr="00AF667A">
        <w:rPr>
          <w:rStyle w:val="eop"/>
          <w:rFonts w:ascii="Calibri" w:hAnsi="Calibri" w:cs="Calibri"/>
        </w:rPr>
        <w:t> </w:t>
      </w:r>
    </w:p>
    <w:p w14:paraId="6D12CEC9" w14:textId="2E88E080" w:rsidR="00C93F00" w:rsidRDefault="00C93F00" w:rsidP="00C93F0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AF667A">
        <w:rPr>
          <w:rStyle w:val="normaltextrun"/>
          <w:rFonts w:ascii="Calibri" w:hAnsi="Calibri" w:cs="Calibri"/>
        </w:rPr>
        <w:t>V případě dostatečných dodávek očkovacích látek se počítá se sloučením plánovaných</w:t>
      </w:r>
      <w:r w:rsidR="002F056E">
        <w:rPr>
          <w:rStyle w:val="normaltextrun"/>
          <w:rFonts w:ascii="Calibri" w:hAnsi="Calibri" w:cs="Calibri"/>
        </w:rPr>
        <w:t xml:space="preserve"> fází </w:t>
      </w:r>
      <w:r w:rsidRPr="00AF667A">
        <w:rPr>
          <w:rStyle w:val="normaltextrun"/>
          <w:rFonts w:ascii="Calibri" w:hAnsi="Calibri" w:cs="Calibri"/>
        </w:rPr>
        <w:t>očkování a paralelního průběhu vakcinace u více indikačních skupin.</w:t>
      </w:r>
      <w:r w:rsidRPr="00AF667A">
        <w:rPr>
          <w:rStyle w:val="eop"/>
          <w:rFonts w:ascii="Calibri" w:hAnsi="Calibri" w:cs="Calibri"/>
        </w:rPr>
        <w:t> </w:t>
      </w:r>
    </w:p>
    <w:p w14:paraId="45E8055A" w14:textId="5A3792E8" w:rsidR="00EE3361" w:rsidRDefault="00EE3361" w:rsidP="00C93F0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210BBB74" w14:textId="38A54109" w:rsidR="00EE3361" w:rsidRPr="00FA2A14" w:rsidRDefault="00897DCE" w:rsidP="00FA2A14">
      <w:pPr>
        <w:pStyle w:val="Nadpis1"/>
        <w:rPr>
          <w:rStyle w:val="eop"/>
        </w:rPr>
      </w:pPr>
      <w:bookmarkStart w:id="12" w:name="_Toc58138522"/>
      <w:r>
        <w:rPr>
          <w:rStyle w:val="eop"/>
          <w:caps w:val="0"/>
        </w:rPr>
        <w:t>10</w:t>
      </w:r>
      <w:r w:rsidR="00FA2A14" w:rsidRPr="00FA2A14">
        <w:rPr>
          <w:rStyle w:val="eop"/>
          <w:caps w:val="0"/>
        </w:rPr>
        <w:t>.</w:t>
      </w:r>
      <w:r w:rsidR="005D597E">
        <w:rPr>
          <w:rStyle w:val="eop"/>
          <w:caps w:val="0"/>
        </w:rPr>
        <w:t xml:space="preserve"> </w:t>
      </w:r>
      <w:r w:rsidR="00FA2A14" w:rsidRPr="00FA2A14">
        <w:rPr>
          <w:rStyle w:val="eop"/>
          <w:caps w:val="0"/>
        </w:rPr>
        <w:t>ÚHRADA VAKCÍN</w:t>
      </w:r>
      <w:bookmarkEnd w:id="12"/>
    </w:p>
    <w:p w14:paraId="18501C2A" w14:textId="293F7605" w:rsidR="00C93F00" w:rsidRPr="00F545A1" w:rsidRDefault="00C93F00" w:rsidP="00F545A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cs="Calibri"/>
        </w:rPr>
      </w:pPr>
    </w:p>
    <w:p w14:paraId="62E219A1" w14:textId="2F86A1E0" w:rsidR="00C93F00" w:rsidRPr="006F12EA" w:rsidRDefault="00EC1249" w:rsidP="00C93F0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  <w:r w:rsidRPr="006F12EA">
        <w:rPr>
          <w:rFonts w:asciiTheme="minorHAnsi" w:hAnsiTheme="minorHAnsi" w:cstheme="minorHAnsi"/>
        </w:rPr>
        <w:t>V souladu s </w:t>
      </w:r>
      <w:r w:rsidR="006F12EA">
        <w:rPr>
          <w:rFonts w:asciiTheme="minorHAnsi" w:hAnsiTheme="minorHAnsi" w:cstheme="minorHAnsi"/>
        </w:rPr>
        <w:t>usnesením vlády</w:t>
      </w:r>
      <w:r w:rsidR="006F12EA" w:rsidRPr="006F12EA">
        <w:rPr>
          <w:rFonts w:asciiTheme="minorHAnsi" w:hAnsiTheme="minorHAnsi" w:cstheme="minorHAnsi"/>
        </w:rPr>
        <w:t xml:space="preserve"> </w:t>
      </w:r>
      <w:r w:rsidRPr="006F12EA">
        <w:rPr>
          <w:rFonts w:asciiTheme="minorHAnsi" w:hAnsiTheme="minorHAnsi" w:cstheme="minorHAnsi"/>
        </w:rPr>
        <w:t xml:space="preserve">ČR ze dne 30.11.2020 č. 1256, bod I./2 bude </w:t>
      </w:r>
      <w:r w:rsidRPr="006F12EA">
        <w:rPr>
          <w:rFonts w:asciiTheme="minorHAnsi" w:hAnsiTheme="minorHAnsi" w:cstheme="minorHAnsi"/>
          <w:b/>
          <w:bCs/>
        </w:rPr>
        <w:t>o</w:t>
      </w:r>
      <w:r w:rsidR="00C93F00" w:rsidRPr="006F12EA">
        <w:rPr>
          <w:rStyle w:val="normaltextrun"/>
          <w:rFonts w:asciiTheme="minorHAnsi" w:hAnsiTheme="minorHAnsi" w:cstheme="minorHAnsi"/>
          <w:b/>
          <w:bCs/>
        </w:rPr>
        <w:t>čkování</w:t>
      </w:r>
      <w:r w:rsidR="00D31DEC">
        <w:rPr>
          <w:rStyle w:val="normaltextrun"/>
          <w:rFonts w:asciiTheme="minorHAnsi" w:hAnsiTheme="minorHAnsi" w:cstheme="minorHAnsi"/>
          <w:b/>
          <w:bCs/>
        </w:rPr>
        <w:t xml:space="preserve"> </w:t>
      </w:r>
      <w:r w:rsidR="00C93F00" w:rsidRPr="006F12EA">
        <w:rPr>
          <w:rStyle w:val="normaltextrun"/>
          <w:rFonts w:asciiTheme="minorHAnsi" w:hAnsiTheme="minorHAnsi" w:cstheme="minorHAnsi"/>
          <w:b/>
          <w:bCs/>
        </w:rPr>
        <w:t>dobrovolné</w:t>
      </w:r>
      <w:r w:rsidR="006F12EA">
        <w:rPr>
          <w:rStyle w:val="normaltextrun"/>
          <w:rFonts w:asciiTheme="minorHAnsi" w:hAnsiTheme="minorHAnsi" w:cstheme="minorHAnsi"/>
          <w:b/>
          <w:bCs/>
        </w:rPr>
        <w:t>.</w:t>
      </w:r>
      <w:r w:rsidR="006F12EA" w:rsidRPr="006F12EA">
        <w:rPr>
          <w:rStyle w:val="normaltextrun"/>
          <w:rFonts w:asciiTheme="minorHAnsi" w:hAnsiTheme="minorHAnsi" w:cstheme="minorHAnsi"/>
          <w:b/>
          <w:bCs/>
        </w:rPr>
        <w:t xml:space="preserve"> </w:t>
      </w:r>
      <w:r w:rsidRPr="006F12EA">
        <w:rPr>
          <w:rFonts w:asciiTheme="minorHAnsi" w:hAnsiTheme="minorHAnsi" w:cstheme="minorHAnsi"/>
        </w:rPr>
        <w:t>Očkovací látky budou poskytovány poskytovatelům zdravotních služeb, kteří je budou aplikovat</w:t>
      </w:r>
      <w:r w:rsidR="00C93F00" w:rsidRPr="006F12EA">
        <w:rPr>
          <w:rStyle w:val="normaltextrun"/>
          <w:rFonts w:asciiTheme="minorHAnsi" w:hAnsiTheme="minorHAnsi" w:cstheme="minorHAnsi"/>
        </w:rPr>
        <w:t xml:space="preserve"> </w:t>
      </w:r>
      <w:r w:rsidRPr="006F12EA">
        <w:rPr>
          <w:rStyle w:val="normaltextrun"/>
          <w:rFonts w:asciiTheme="minorHAnsi" w:hAnsiTheme="minorHAnsi" w:cstheme="minorHAnsi"/>
        </w:rPr>
        <w:t>pojištěncům. Očkování bude</w:t>
      </w:r>
      <w:r w:rsidR="00C93F00" w:rsidRPr="006F12EA">
        <w:rPr>
          <w:rStyle w:val="normaltextrun"/>
          <w:rFonts w:asciiTheme="minorHAnsi" w:hAnsiTheme="minorHAnsi" w:cstheme="minorHAnsi"/>
        </w:rPr>
        <w:t xml:space="preserve"> umožněno všem </w:t>
      </w:r>
      <w:r w:rsidRPr="006F12EA">
        <w:rPr>
          <w:rStyle w:val="normaltextrun"/>
          <w:rFonts w:asciiTheme="minorHAnsi" w:hAnsiTheme="minorHAnsi" w:cstheme="minorHAnsi"/>
        </w:rPr>
        <w:t>pojištěncům, kteří o očkování projeví zájem.</w:t>
      </w:r>
      <w:r w:rsidR="00C93F00" w:rsidRPr="006F12EA">
        <w:rPr>
          <w:rStyle w:val="normaltextrun"/>
          <w:rFonts w:asciiTheme="minorHAnsi" w:hAnsiTheme="minorHAnsi" w:cstheme="minorHAnsi"/>
        </w:rPr>
        <w:t xml:space="preserve"> Očkovací látky budou nakoupeny státem </w:t>
      </w:r>
      <w:r w:rsidRPr="006F12EA">
        <w:rPr>
          <w:rStyle w:val="normaltextrun"/>
          <w:rFonts w:asciiTheme="minorHAnsi" w:hAnsiTheme="minorHAnsi" w:cstheme="minorHAnsi"/>
        </w:rPr>
        <w:t>a n</w:t>
      </w:r>
      <w:r w:rsidR="00FB2049" w:rsidRPr="006F12EA">
        <w:rPr>
          <w:rFonts w:asciiTheme="minorHAnsi" w:hAnsiTheme="minorHAnsi" w:cstheme="minorHAnsi"/>
        </w:rPr>
        <w:t>ásledně bude probíhat refundace prostředků z veřejného zdravotního pojištění, a to v návaznosti na počet skutečně aplikovaných vakcín</w:t>
      </w:r>
      <w:r w:rsidRPr="006F12EA">
        <w:rPr>
          <w:rFonts w:asciiTheme="minorHAnsi" w:hAnsiTheme="minorHAnsi" w:cstheme="minorHAnsi"/>
        </w:rPr>
        <w:t xml:space="preserve"> včetně d</w:t>
      </w:r>
      <w:r w:rsidR="006C774D" w:rsidRPr="006F12EA">
        <w:rPr>
          <w:rStyle w:val="normaltextrun"/>
          <w:rFonts w:asciiTheme="minorHAnsi" w:hAnsiTheme="minorHAnsi" w:cstheme="minorHAnsi"/>
        </w:rPr>
        <w:t>istribuce. </w:t>
      </w:r>
      <w:r w:rsidR="00C93F00" w:rsidRPr="006F12EA">
        <w:rPr>
          <w:rStyle w:val="normaltextrun"/>
          <w:rFonts w:asciiTheme="minorHAnsi" w:hAnsiTheme="minorHAnsi" w:cstheme="minorHAnsi"/>
        </w:rPr>
        <w:t>Úhrada očkování bude součástí novelizace zákona č.</w:t>
      </w:r>
      <w:r w:rsidR="00D31DEC">
        <w:rPr>
          <w:rStyle w:val="normaltextrun"/>
          <w:rFonts w:asciiTheme="minorHAnsi" w:hAnsiTheme="minorHAnsi" w:cstheme="minorHAnsi"/>
        </w:rPr>
        <w:t> </w:t>
      </w:r>
      <w:r w:rsidR="00C93F00" w:rsidRPr="006F12EA">
        <w:rPr>
          <w:rStyle w:val="normaltextrun"/>
          <w:rFonts w:asciiTheme="minorHAnsi" w:hAnsiTheme="minorHAnsi" w:cstheme="minorHAnsi"/>
        </w:rPr>
        <w:t xml:space="preserve">48/1997 </w:t>
      </w:r>
      <w:r w:rsidR="006C774D" w:rsidRPr="006F12EA">
        <w:rPr>
          <w:rStyle w:val="normaltextrun"/>
          <w:rFonts w:asciiTheme="minorHAnsi" w:hAnsiTheme="minorHAnsi" w:cstheme="minorHAnsi"/>
        </w:rPr>
        <w:t xml:space="preserve">Sb. </w:t>
      </w:r>
      <w:r w:rsidR="00C93F00" w:rsidRPr="006F12EA">
        <w:rPr>
          <w:rStyle w:val="normaltextrun"/>
          <w:rFonts w:asciiTheme="minorHAnsi" w:hAnsiTheme="minorHAnsi" w:cstheme="minorHAnsi"/>
        </w:rPr>
        <w:t>o veřejném zdravotním pojištění</w:t>
      </w:r>
      <w:r w:rsidR="006C774D" w:rsidRPr="006F12EA">
        <w:rPr>
          <w:rStyle w:val="normaltextrun"/>
          <w:rFonts w:asciiTheme="minorHAnsi" w:hAnsiTheme="minorHAnsi" w:cstheme="minorHAnsi"/>
        </w:rPr>
        <w:t xml:space="preserve"> a o změně a doplnění některých souvisejících zákonů, ve znění pozdějších předpisů</w:t>
      </w:r>
      <w:r w:rsidR="00C93F00" w:rsidRPr="006F12EA">
        <w:rPr>
          <w:rStyle w:val="normaltextrun"/>
          <w:rFonts w:asciiTheme="minorHAnsi" w:hAnsiTheme="minorHAnsi" w:cstheme="minorHAnsi"/>
        </w:rPr>
        <w:t>. </w:t>
      </w:r>
      <w:r w:rsidR="00C93F00" w:rsidRPr="006F12EA">
        <w:rPr>
          <w:rStyle w:val="eop"/>
          <w:rFonts w:asciiTheme="minorHAnsi" w:hAnsiTheme="minorHAnsi" w:cstheme="minorHAnsi"/>
        </w:rPr>
        <w:t> </w:t>
      </w:r>
      <w:r w:rsidR="00C93F00" w:rsidRPr="006F12EA">
        <w:rPr>
          <w:rStyle w:val="normaltextrun"/>
          <w:rFonts w:asciiTheme="minorHAnsi" w:hAnsiTheme="minorHAnsi" w:cstheme="minorHAnsi"/>
        </w:rPr>
        <w:t xml:space="preserve">Pro vykazování očkovací je nutné vytvořit nový, samostatný </w:t>
      </w:r>
      <w:r w:rsidR="006E1237" w:rsidRPr="006F12EA">
        <w:rPr>
          <w:rStyle w:val="normaltextrun"/>
          <w:rFonts w:asciiTheme="minorHAnsi" w:hAnsiTheme="minorHAnsi" w:cstheme="minorHAnsi"/>
        </w:rPr>
        <w:t>zdravotní výkon</w:t>
      </w:r>
      <w:r w:rsidR="00C93F00" w:rsidRPr="006F12EA">
        <w:rPr>
          <w:rStyle w:val="normaltextrun"/>
          <w:rFonts w:asciiTheme="minorHAnsi" w:hAnsiTheme="minorHAnsi" w:cstheme="minorHAnsi"/>
        </w:rPr>
        <w:t>.</w:t>
      </w:r>
    </w:p>
    <w:p w14:paraId="0B52CACE" w14:textId="1D6118DA" w:rsidR="001E422B" w:rsidRDefault="001E422B">
      <w:pPr>
        <w:rPr>
          <w:rStyle w:val="normaltextrun"/>
          <w:rFonts w:ascii="Calibri" w:hAnsi="Calibri" w:cs="Calibri"/>
          <w:sz w:val="24"/>
          <w:szCs w:val="24"/>
          <w:lang w:eastAsia="cs-CZ"/>
        </w:rPr>
      </w:pPr>
    </w:p>
    <w:p w14:paraId="63040DD6" w14:textId="4C0F4DE3" w:rsidR="0072475D" w:rsidRDefault="00897DCE" w:rsidP="006C774D">
      <w:pPr>
        <w:pStyle w:val="Nadpis1"/>
        <w:rPr>
          <w:rStyle w:val="normaltextrun"/>
          <w:rFonts w:ascii="Calibri" w:hAnsi="Calibri" w:cs="Calibri"/>
        </w:rPr>
      </w:pPr>
      <w:bookmarkStart w:id="13" w:name="_Toc58138523"/>
      <w:r>
        <w:rPr>
          <w:rStyle w:val="eop"/>
          <w:caps w:val="0"/>
        </w:rPr>
        <w:t>11</w:t>
      </w:r>
      <w:r w:rsidR="00FA2A14" w:rsidRPr="00FA2A14">
        <w:rPr>
          <w:rStyle w:val="eop"/>
          <w:caps w:val="0"/>
        </w:rPr>
        <w:t>.</w:t>
      </w:r>
      <w:r w:rsidR="005D597E">
        <w:rPr>
          <w:rStyle w:val="eop"/>
          <w:caps w:val="0"/>
        </w:rPr>
        <w:t xml:space="preserve"> </w:t>
      </w:r>
      <w:r w:rsidR="00FA2A14" w:rsidRPr="00FA2A14">
        <w:rPr>
          <w:rStyle w:val="eop"/>
          <w:caps w:val="0"/>
        </w:rPr>
        <w:t>PŘEDPOKLÁDAN</w:t>
      </w:r>
      <w:r w:rsidR="00FA2A14">
        <w:rPr>
          <w:rStyle w:val="eop"/>
          <w:caps w:val="0"/>
        </w:rPr>
        <w:t>É</w:t>
      </w:r>
      <w:r w:rsidR="00FA2A14" w:rsidRPr="00FA2A14">
        <w:rPr>
          <w:rStyle w:val="eop"/>
          <w:caps w:val="0"/>
        </w:rPr>
        <w:t xml:space="preserve"> MNOŽSTVÍ DÁVEK PRO </w:t>
      </w:r>
      <w:r w:rsidR="006C774D" w:rsidRPr="00FA2A14">
        <w:rPr>
          <w:rStyle w:val="eop"/>
          <w:caps w:val="0"/>
        </w:rPr>
        <w:t>ČR</w:t>
      </w:r>
      <w:bookmarkEnd w:id="13"/>
    </w:p>
    <w:p w14:paraId="6FA5EFA1" w14:textId="77777777" w:rsidR="00F545A1" w:rsidRPr="00F545A1" w:rsidRDefault="00F545A1" w:rsidP="00F545A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cs="Calibri"/>
        </w:rPr>
      </w:pPr>
    </w:p>
    <w:p w14:paraId="1B2940BE" w14:textId="4579E07D" w:rsidR="0072475D" w:rsidRPr="0072475D" w:rsidRDefault="0072475D" w:rsidP="0072475D">
      <w:pPr>
        <w:spacing w:after="120" w:line="320" w:lineRule="exact"/>
        <w:jc w:val="both"/>
        <w:rPr>
          <w:rStyle w:val="normaltextrun"/>
          <w:rFonts w:ascii="Calibri" w:hAnsi="Calibri" w:cs="Calibri"/>
          <w:sz w:val="24"/>
          <w:szCs w:val="24"/>
          <w:lang w:eastAsia="cs-CZ"/>
        </w:rPr>
      </w:pPr>
      <w:r w:rsidRPr="0072475D">
        <w:rPr>
          <w:rStyle w:val="normaltextrun"/>
          <w:rFonts w:ascii="Calibri" w:hAnsi="Calibri" w:cs="Calibri"/>
          <w:sz w:val="24"/>
          <w:szCs w:val="24"/>
          <w:lang w:eastAsia="cs-CZ"/>
        </w:rPr>
        <w:t>Česká republika se, stejně jako všechny ostatní členské státy EU, zapojila do iniciativy řízené Evropskou komisí, jejímž cílem je včasné zajištění vakcíny proti COVID-19</w:t>
      </w:r>
      <w:r w:rsidR="00A62EEB">
        <w:rPr>
          <w:rStyle w:val="normaltextrun"/>
          <w:rFonts w:ascii="Calibri" w:hAnsi="Calibri" w:cs="Calibri"/>
          <w:sz w:val="24"/>
          <w:szCs w:val="24"/>
          <w:lang w:eastAsia="cs-CZ"/>
        </w:rPr>
        <w:t xml:space="preserve">, </w:t>
      </w:r>
      <w:r w:rsidRPr="0072475D">
        <w:rPr>
          <w:rStyle w:val="normaltextrun"/>
          <w:rFonts w:ascii="Calibri" w:hAnsi="Calibri" w:cs="Calibri"/>
          <w:sz w:val="24"/>
          <w:szCs w:val="24"/>
          <w:lang w:eastAsia="cs-CZ"/>
        </w:rPr>
        <w:t>a to v dostatečném množství pro všechny členské státy. Společná iniciativa vznikla z mnoha důvodů, nejen kvůli nutnosti koordinovaného přístupu v rámci společného trhu, ale také proto, že trhy jednotlivých států jsou pro vytížené výrobce neperspektivní. Dohoda mezi EU a členskými státy stanoví, že s každým výrobcem, který je vyhodnocen jako vhodný, bude uzavřena smlouva o smlouvě budoucí, tzv. APA (Advance Purchase Agreement, dále jen „APA“). APA, které Komise vyjednává s výrobci, se liší, každá obsahuje jiný způsob rozdělení vakcín, povinnost odběru objednaného množství, možnost úpravy objednaného množství, řešení odpovědnosti.</w:t>
      </w:r>
    </w:p>
    <w:p w14:paraId="7278AC1B" w14:textId="1131AA78" w:rsidR="0072475D" w:rsidRPr="0072475D" w:rsidRDefault="0072475D" w:rsidP="0072475D">
      <w:pPr>
        <w:pStyle w:val="Odstavecseseznamem"/>
        <w:spacing w:after="120" w:line="340" w:lineRule="exact"/>
        <w:ind w:left="0"/>
        <w:contextualSpacing w:val="0"/>
        <w:jc w:val="both"/>
        <w:rPr>
          <w:rStyle w:val="normaltextrun"/>
          <w:rFonts w:ascii="Calibri" w:hAnsi="Calibri" w:cs="Calibri"/>
          <w:sz w:val="24"/>
          <w:szCs w:val="24"/>
          <w:lang w:eastAsia="cs-CZ"/>
        </w:rPr>
      </w:pPr>
      <w:r>
        <w:rPr>
          <w:rStyle w:val="normaltextrun"/>
          <w:rFonts w:ascii="Calibri" w:hAnsi="Calibri" w:cs="Calibri"/>
          <w:sz w:val="24"/>
          <w:szCs w:val="24"/>
          <w:lang w:eastAsia="cs-CZ"/>
        </w:rPr>
        <w:t>Není přesně známo, kolik smluv se nakonec podaří uzavřít, ale</w:t>
      </w:r>
      <w:r w:rsidRPr="0072475D">
        <w:rPr>
          <w:rStyle w:val="normaltextrun"/>
          <w:rFonts w:ascii="Calibri" w:hAnsi="Calibri" w:cs="Calibri"/>
          <w:sz w:val="24"/>
          <w:szCs w:val="24"/>
          <w:lang w:eastAsia="cs-CZ"/>
        </w:rPr>
        <w:t xml:space="preserve"> k</w:t>
      </w:r>
      <w:r>
        <w:rPr>
          <w:rStyle w:val="normaltextrun"/>
          <w:rFonts w:ascii="Calibri" w:hAnsi="Calibri" w:cs="Calibri"/>
          <w:sz w:val="24"/>
          <w:szCs w:val="24"/>
          <w:lang w:eastAsia="cs-CZ"/>
        </w:rPr>
        <w:t>e</w:t>
      </w:r>
      <w:r w:rsidRPr="0072475D">
        <w:rPr>
          <w:rStyle w:val="normaltextrun"/>
          <w:rFonts w:ascii="Calibri" w:hAnsi="Calibri" w:cs="Calibri"/>
          <w:sz w:val="24"/>
          <w:szCs w:val="24"/>
          <w:lang w:eastAsia="cs-CZ"/>
        </w:rPr>
        <w:t xml:space="preserve"> dni 26. listopadu</w:t>
      </w:r>
      <w:r>
        <w:rPr>
          <w:rStyle w:val="normaltextrun"/>
          <w:rFonts w:ascii="Calibri" w:hAnsi="Calibri" w:cs="Calibri"/>
          <w:sz w:val="24"/>
          <w:szCs w:val="24"/>
          <w:lang w:eastAsia="cs-CZ"/>
        </w:rPr>
        <w:t xml:space="preserve"> 2020</w:t>
      </w:r>
      <w:r w:rsidRPr="0072475D">
        <w:rPr>
          <w:rStyle w:val="normaltextrun"/>
          <w:rFonts w:ascii="Calibri" w:hAnsi="Calibri" w:cs="Calibri"/>
          <w:sz w:val="24"/>
          <w:szCs w:val="24"/>
          <w:lang w:eastAsia="cs-CZ"/>
        </w:rPr>
        <w:t xml:space="preserve"> byla uzavřena APA již se šesti výrobci:</w:t>
      </w:r>
    </w:p>
    <w:p w14:paraId="1A6F7A87" w14:textId="5B5A2C0F" w:rsidR="0072475D" w:rsidRPr="0072475D" w:rsidRDefault="0072475D" w:rsidP="00430E27">
      <w:pPr>
        <w:pStyle w:val="Odstavecseseznamem"/>
        <w:numPr>
          <w:ilvl w:val="0"/>
          <w:numId w:val="30"/>
        </w:numPr>
        <w:tabs>
          <w:tab w:val="left" w:pos="4820"/>
          <w:tab w:val="right" w:pos="9072"/>
        </w:tabs>
        <w:spacing w:before="0" w:after="0" w:line="340" w:lineRule="exact"/>
        <w:ind w:left="714" w:hanging="357"/>
        <w:contextualSpacing w:val="0"/>
        <w:jc w:val="both"/>
        <w:rPr>
          <w:rStyle w:val="normaltextrun"/>
          <w:rFonts w:ascii="Calibri" w:hAnsi="Calibri" w:cs="Calibri"/>
          <w:sz w:val="24"/>
          <w:szCs w:val="24"/>
          <w:lang w:eastAsia="cs-CZ"/>
        </w:rPr>
      </w:pPr>
      <w:r w:rsidRPr="0072475D">
        <w:rPr>
          <w:rStyle w:val="normaltextrun"/>
          <w:rFonts w:ascii="Calibri" w:hAnsi="Calibri" w:cs="Calibri"/>
          <w:sz w:val="24"/>
          <w:szCs w:val="24"/>
          <w:lang w:eastAsia="cs-CZ"/>
        </w:rPr>
        <w:t>AstraZeneca – ČR přistoupila a závazně objednala 3 mil. dávek – usnesení vlády č. 922 ze dne 5. října 2020, kterým byla navýšena rozpočtová kapitola MZ o 152 mil. Kč</w:t>
      </w:r>
      <w:r w:rsidR="00A62EEB">
        <w:rPr>
          <w:rStyle w:val="normaltextrun"/>
          <w:rFonts w:ascii="Calibri" w:hAnsi="Calibri" w:cs="Calibri"/>
          <w:sz w:val="24"/>
          <w:szCs w:val="24"/>
          <w:lang w:eastAsia="cs-CZ"/>
        </w:rPr>
        <w:t>,</w:t>
      </w:r>
    </w:p>
    <w:p w14:paraId="41BC441E" w14:textId="2D59319D" w:rsidR="0072475D" w:rsidRPr="0072475D" w:rsidRDefault="0072475D" w:rsidP="00430E27">
      <w:pPr>
        <w:pStyle w:val="Odstavecseseznamem"/>
        <w:numPr>
          <w:ilvl w:val="0"/>
          <w:numId w:val="30"/>
        </w:numPr>
        <w:tabs>
          <w:tab w:val="left" w:pos="4820"/>
          <w:tab w:val="right" w:pos="9072"/>
        </w:tabs>
        <w:spacing w:before="0" w:after="0" w:line="340" w:lineRule="exact"/>
        <w:ind w:left="714" w:hanging="357"/>
        <w:contextualSpacing w:val="0"/>
        <w:jc w:val="both"/>
        <w:rPr>
          <w:rStyle w:val="normaltextrun"/>
          <w:rFonts w:ascii="Calibri" w:hAnsi="Calibri" w:cs="Calibri"/>
          <w:sz w:val="24"/>
          <w:szCs w:val="24"/>
          <w:lang w:eastAsia="cs-CZ"/>
        </w:rPr>
      </w:pPr>
      <w:r w:rsidRPr="0072475D">
        <w:rPr>
          <w:rStyle w:val="normaltextrun"/>
          <w:rFonts w:ascii="Calibri" w:hAnsi="Calibri" w:cs="Calibri"/>
          <w:sz w:val="24"/>
          <w:szCs w:val="24"/>
          <w:lang w:eastAsia="cs-CZ"/>
        </w:rPr>
        <w:t>Sanofi – APA uzavřena, jde o jediný jiný typ smlouvy, který umožní závaznou objednávku až v momentě výsledků 2/3. fáze klinických hodnocení</w:t>
      </w:r>
      <w:r w:rsidR="00A62EEB">
        <w:rPr>
          <w:rStyle w:val="normaltextrun"/>
          <w:rFonts w:ascii="Calibri" w:hAnsi="Calibri" w:cs="Calibri"/>
          <w:sz w:val="24"/>
          <w:szCs w:val="24"/>
          <w:lang w:eastAsia="cs-CZ"/>
        </w:rPr>
        <w:t>,</w:t>
      </w:r>
      <w:r w:rsidRPr="0072475D">
        <w:rPr>
          <w:rStyle w:val="normaltextrun"/>
          <w:rFonts w:ascii="Calibri" w:hAnsi="Calibri" w:cs="Calibri"/>
          <w:sz w:val="24"/>
          <w:szCs w:val="24"/>
          <w:lang w:eastAsia="cs-CZ"/>
        </w:rPr>
        <w:t xml:space="preserve"> </w:t>
      </w:r>
    </w:p>
    <w:p w14:paraId="6E8DF9C7" w14:textId="5DAC40A5" w:rsidR="0072475D" w:rsidRPr="00FB2049" w:rsidRDefault="0072475D" w:rsidP="00430E27">
      <w:pPr>
        <w:pStyle w:val="Odstavecseseznamem"/>
        <w:numPr>
          <w:ilvl w:val="0"/>
          <w:numId w:val="30"/>
        </w:numPr>
        <w:tabs>
          <w:tab w:val="left" w:pos="4820"/>
          <w:tab w:val="right" w:pos="9072"/>
        </w:tabs>
        <w:spacing w:before="0" w:after="0" w:line="340" w:lineRule="exact"/>
        <w:ind w:left="714" w:hanging="357"/>
        <w:contextualSpacing w:val="0"/>
        <w:jc w:val="both"/>
        <w:rPr>
          <w:rStyle w:val="normaltextrun"/>
          <w:rFonts w:ascii="Calibri" w:hAnsi="Calibri" w:cs="Calibri"/>
          <w:sz w:val="24"/>
          <w:szCs w:val="24"/>
          <w:lang w:eastAsia="cs-CZ"/>
        </w:rPr>
      </w:pPr>
      <w:r w:rsidRPr="00FB2049">
        <w:rPr>
          <w:rStyle w:val="normaltextrun"/>
          <w:rFonts w:ascii="Calibri" w:hAnsi="Calibri" w:cs="Calibri"/>
          <w:sz w:val="24"/>
          <w:szCs w:val="24"/>
          <w:lang w:eastAsia="cs-CZ"/>
        </w:rPr>
        <w:t xml:space="preserve">Johnson&amp;Johnson </w:t>
      </w:r>
      <w:r w:rsidR="00960813" w:rsidRPr="00FB2049">
        <w:rPr>
          <w:rStyle w:val="normaltextrun"/>
          <w:rFonts w:ascii="Calibri" w:hAnsi="Calibri" w:cs="Calibri"/>
          <w:sz w:val="24"/>
          <w:szCs w:val="24"/>
          <w:lang w:eastAsia="cs-CZ"/>
        </w:rPr>
        <w:t>– ČR přistoupila ke smlouvě a objednala 2 mil</w:t>
      </w:r>
      <w:r w:rsidR="00CD129C" w:rsidRPr="00FB2049">
        <w:rPr>
          <w:rStyle w:val="normaltextrun"/>
          <w:rFonts w:ascii="Calibri" w:hAnsi="Calibri" w:cs="Calibri"/>
          <w:sz w:val="24"/>
          <w:szCs w:val="24"/>
          <w:lang w:eastAsia="cs-CZ"/>
        </w:rPr>
        <w:t>. dávek</w:t>
      </w:r>
      <w:r w:rsidR="00A62EEB">
        <w:rPr>
          <w:rStyle w:val="normaltextrun"/>
          <w:rFonts w:ascii="Calibri" w:hAnsi="Calibri" w:cs="Calibri"/>
          <w:sz w:val="24"/>
          <w:szCs w:val="24"/>
          <w:lang w:eastAsia="cs-CZ"/>
        </w:rPr>
        <w:t>,</w:t>
      </w:r>
    </w:p>
    <w:p w14:paraId="57B4410D" w14:textId="72EFC769" w:rsidR="0072475D" w:rsidRPr="00FB2049" w:rsidRDefault="0072475D" w:rsidP="00430E27">
      <w:pPr>
        <w:pStyle w:val="Odstavecseseznamem"/>
        <w:numPr>
          <w:ilvl w:val="0"/>
          <w:numId w:val="30"/>
        </w:numPr>
        <w:tabs>
          <w:tab w:val="left" w:pos="4820"/>
          <w:tab w:val="right" w:pos="9072"/>
        </w:tabs>
        <w:spacing w:before="0" w:after="0" w:line="340" w:lineRule="exact"/>
        <w:ind w:left="714" w:hanging="357"/>
        <w:contextualSpacing w:val="0"/>
        <w:jc w:val="both"/>
        <w:rPr>
          <w:rStyle w:val="normaltextrun"/>
          <w:rFonts w:ascii="Calibri" w:hAnsi="Calibri" w:cs="Calibri"/>
          <w:sz w:val="24"/>
          <w:szCs w:val="24"/>
          <w:lang w:eastAsia="cs-CZ"/>
        </w:rPr>
      </w:pPr>
      <w:r w:rsidRPr="00FB2049">
        <w:rPr>
          <w:rStyle w:val="normaltextrun"/>
          <w:rFonts w:ascii="Calibri" w:hAnsi="Calibri" w:cs="Calibri"/>
          <w:sz w:val="24"/>
          <w:szCs w:val="24"/>
          <w:lang w:eastAsia="cs-CZ"/>
        </w:rPr>
        <w:t xml:space="preserve">Pfizer/BioNTech </w:t>
      </w:r>
      <w:r w:rsidR="00960813" w:rsidRPr="00FB2049">
        <w:rPr>
          <w:rStyle w:val="normaltextrun"/>
          <w:rFonts w:ascii="Calibri" w:hAnsi="Calibri" w:cs="Calibri"/>
          <w:sz w:val="24"/>
          <w:szCs w:val="24"/>
          <w:lang w:eastAsia="cs-CZ"/>
        </w:rPr>
        <w:t>- ČR přistoupila ke smlouvě a objednala 4 mil</w:t>
      </w:r>
      <w:r w:rsidR="00CD129C" w:rsidRPr="00FB2049">
        <w:rPr>
          <w:rStyle w:val="normaltextrun"/>
          <w:rFonts w:ascii="Calibri" w:hAnsi="Calibri" w:cs="Calibri"/>
          <w:sz w:val="24"/>
          <w:szCs w:val="24"/>
          <w:lang w:eastAsia="cs-CZ"/>
        </w:rPr>
        <w:t xml:space="preserve">. </w:t>
      </w:r>
      <w:r w:rsidR="00A62EEB">
        <w:rPr>
          <w:rStyle w:val="normaltextrun"/>
          <w:rFonts w:ascii="Calibri" w:hAnsi="Calibri" w:cs="Calibri"/>
          <w:sz w:val="24"/>
          <w:szCs w:val="24"/>
          <w:lang w:eastAsia="cs-CZ"/>
        </w:rPr>
        <w:t>d</w:t>
      </w:r>
      <w:r w:rsidR="00CD129C" w:rsidRPr="00FB2049">
        <w:rPr>
          <w:rStyle w:val="normaltextrun"/>
          <w:rFonts w:ascii="Calibri" w:hAnsi="Calibri" w:cs="Calibri"/>
          <w:sz w:val="24"/>
          <w:szCs w:val="24"/>
          <w:lang w:eastAsia="cs-CZ"/>
        </w:rPr>
        <w:t>ávek</w:t>
      </w:r>
      <w:r w:rsidR="00A62EEB">
        <w:rPr>
          <w:rStyle w:val="normaltextrun"/>
          <w:rFonts w:ascii="Calibri" w:hAnsi="Calibri" w:cs="Calibri"/>
          <w:sz w:val="24"/>
          <w:szCs w:val="24"/>
          <w:lang w:eastAsia="cs-CZ"/>
        </w:rPr>
        <w:t>,</w:t>
      </w:r>
    </w:p>
    <w:p w14:paraId="39307002" w14:textId="73C1FF67" w:rsidR="0072475D" w:rsidRPr="00FB2049" w:rsidRDefault="0072475D" w:rsidP="00430E27">
      <w:pPr>
        <w:pStyle w:val="Odstavecseseznamem"/>
        <w:numPr>
          <w:ilvl w:val="0"/>
          <w:numId w:val="30"/>
        </w:numPr>
        <w:tabs>
          <w:tab w:val="left" w:pos="4820"/>
          <w:tab w:val="right" w:pos="9072"/>
        </w:tabs>
        <w:spacing w:before="0" w:after="0" w:line="340" w:lineRule="exact"/>
        <w:ind w:left="714" w:hanging="357"/>
        <w:contextualSpacing w:val="0"/>
        <w:jc w:val="both"/>
        <w:rPr>
          <w:rStyle w:val="normaltextrun"/>
          <w:rFonts w:ascii="Calibri" w:hAnsi="Calibri" w:cs="Calibri"/>
          <w:sz w:val="24"/>
          <w:szCs w:val="24"/>
          <w:lang w:eastAsia="cs-CZ"/>
        </w:rPr>
      </w:pPr>
      <w:r w:rsidRPr="00FB2049">
        <w:rPr>
          <w:rStyle w:val="normaltextrun"/>
          <w:rFonts w:ascii="Calibri" w:hAnsi="Calibri" w:cs="Calibri"/>
          <w:sz w:val="24"/>
          <w:szCs w:val="24"/>
          <w:lang w:eastAsia="cs-CZ"/>
        </w:rPr>
        <w:t xml:space="preserve">CureVac </w:t>
      </w:r>
      <w:r w:rsidR="00A62EEB">
        <w:rPr>
          <w:rStyle w:val="normaltextrun"/>
          <w:rFonts w:ascii="Calibri" w:hAnsi="Calibri" w:cs="Calibri"/>
          <w:sz w:val="24"/>
          <w:szCs w:val="24"/>
          <w:lang w:eastAsia="cs-CZ"/>
        </w:rPr>
        <w:t>-</w:t>
      </w:r>
      <w:r w:rsidR="00960813" w:rsidRPr="00FB2049">
        <w:rPr>
          <w:rStyle w:val="normaltextrun"/>
          <w:rFonts w:ascii="Calibri" w:hAnsi="Calibri" w:cs="Calibri"/>
          <w:sz w:val="24"/>
          <w:szCs w:val="24"/>
          <w:lang w:eastAsia="cs-CZ"/>
        </w:rPr>
        <w:t xml:space="preserve"> ČR přistoupila ke smlouvě a prozatím indikovala zájem o nákup 1 mil</w:t>
      </w:r>
      <w:r w:rsidR="00CD129C" w:rsidRPr="00FB2049">
        <w:rPr>
          <w:rStyle w:val="normaltextrun"/>
          <w:rFonts w:ascii="Calibri" w:hAnsi="Calibri" w:cs="Calibri"/>
          <w:sz w:val="24"/>
          <w:szCs w:val="24"/>
          <w:lang w:eastAsia="cs-CZ"/>
        </w:rPr>
        <w:t>.</w:t>
      </w:r>
      <w:r w:rsidR="00960813" w:rsidRPr="00FB2049">
        <w:rPr>
          <w:rStyle w:val="normaltextrun"/>
          <w:rFonts w:ascii="Calibri" w:hAnsi="Calibri" w:cs="Calibri"/>
          <w:sz w:val="24"/>
          <w:szCs w:val="24"/>
          <w:lang w:eastAsia="cs-CZ"/>
        </w:rPr>
        <w:t xml:space="preserve"> dávek</w:t>
      </w:r>
      <w:r w:rsidR="00A62EEB">
        <w:rPr>
          <w:rStyle w:val="normaltextrun"/>
          <w:rFonts w:ascii="Calibri" w:hAnsi="Calibri" w:cs="Calibri"/>
          <w:sz w:val="24"/>
          <w:szCs w:val="24"/>
          <w:lang w:eastAsia="cs-CZ"/>
        </w:rPr>
        <w:t>,</w:t>
      </w:r>
    </w:p>
    <w:p w14:paraId="24D552A6" w14:textId="79BFFCAE" w:rsidR="0072475D" w:rsidRPr="00FB2049" w:rsidRDefault="0072475D" w:rsidP="00430E27">
      <w:pPr>
        <w:pStyle w:val="Odstavecseseznamem"/>
        <w:numPr>
          <w:ilvl w:val="0"/>
          <w:numId w:val="30"/>
        </w:numPr>
        <w:tabs>
          <w:tab w:val="left" w:pos="4820"/>
          <w:tab w:val="right" w:pos="9072"/>
        </w:tabs>
        <w:spacing w:before="0" w:after="0" w:line="340" w:lineRule="exact"/>
        <w:ind w:left="714" w:hanging="357"/>
        <w:contextualSpacing w:val="0"/>
        <w:jc w:val="both"/>
        <w:textAlignment w:val="baseline"/>
        <w:rPr>
          <w:rStyle w:val="normaltextrun"/>
          <w:rFonts w:ascii="Calibri" w:hAnsi="Calibri" w:cs="Calibri"/>
        </w:rPr>
      </w:pPr>
      <w:r w:rsidRPr="00FB2049">
        <w:rPr>
          <w:rStyle w:val="normaltextrun"/>
          <w:rFonts w:ascii="Calibri" w:hAnsi="Calibri" w:cs="Calibri"/>
          <w:sz w:val="24"/>
          <w:szCs w:val="24"/>
          <w:lang w:eastAsia="cs-CZ"/>
        </w:rPr>
        <w:lastRenderedPageBreak/>
        <w:t xml:space="preserve">Moderna </w:t>
      </w:r>
      <w:r w:rsidR="00A62EEB">
        <w:rPr>
          <w:rStyle w:val="normaltextrun"/>
          <w:rFonts w:ascii="Calibri" w:hAnsi="Calibri" w:cs="Calibri"/>
          <w:sz w:val="24"/>
          <w:szCs w:val="24"/>
          <w:lang w:eastAsia="cs-CZ"/>
        </w:rPr>
        <w:t>-</w:t>
      </w:r>
      <w:r w:rsidR="006F12EA">
        <w:rPr>
          <w:rStyle w:val="normaltextrun"/>
          <w:rFonts w:ascii="Calibri" w:hAnsi="Calibri" w:cs="Calibri"/>
          <w:sz w:val="24"/>
          <w:szCs w:val="24"/>
          <w:lang w:eastAsia="cs-CZ"/>
        </w:rPr>
        <w:t xml:space="preserve"> </w:t>
      </w:r>
      <w:r w:rsidR="00960813" w:rsidRPr="00FB2049">
        <w:rPr>
          <w:rStyle w:val="normaltextrun"/>
          <w:rFonts w:ascii="Calibri" w:hAnsi="Calibri" w:cs="Calibri"/>
          <w:sz w:val="24"/>
          <w:szCs w:val="24"/>
          <w:lang w:eastAsia="cs-CZ"/>
        </w:rPr>
        <w:t xml:space="preserve">ČR přistoupila ke smlouvě a prozatím indikovala zájem o množství přidělené pro rata </w:t>
      </w:r>
      <w:r w:rsidR="00960813" w:rsidRPr="00FB2049">
        <w:rPr>
          <w:rStyle w:val="normaltextrun"/>
          <w:rFonts w:ascii="Arial" w:hAnsi="Arial" w:cs="Arial"/>
          <w:sz w:val="22"/>
          <w:szCs w:val="22"/>
          <w:lang w:eastAsia="cs-CZ"/>
        </w:rPr>
        <w:t>(</w:t>
      </w:r>
      <w:r w:rsidR="00960813" w:rsidRPr="00A62EEB">
        <w:rPr>
          <w:rFonts w:cstheme="minorHAnsi"/>
          <w:sz w:val="24"/>
          <w:szCs w:val="24"/>
        </w:rPr>
        <w:t>1</w:t>
      </w:r>
      <w:r w:rsidR="00CD129C" w:rsidRPr="00A62EEB">
        <w:rPr>
          <w:rFonts w:cstheme="minorHAnsi"/>
          <w:sz w:val="24"/>
          <w:szCs w:val="24"/>
        </w:rPr>
        <w:t>,9 mil</w:t>
      </w:r>
      <w:r w:rsidR="00E62D11" w:rsidRPr="00A62EEB">
        <w:rPr>
          <w:rFonts w:cstheme="minorHAnsi"/>
          <w:sz w:val="24"/>
          <w:szCs w:val="24"/>
        </w:rPr>
        <w:t>.</w:t>
      </w:r>
      <w:r w:rsidR="00960813" w:rsidRPr="00A62EEB">
        <w:rPr>
          <w:rFonts w:cstheme="minorHAnsi"/>
          <w:sz w:val="24"/>
          <w:szCs w:val="24"/>
        </w:rPr>
        <w:t xml:space="preserve"> </w:t>
      </w:r>
      <w:r w:rsidR="00960813" w:rsidRPr="00482E27">
        <w:rPr>
          <w:sz w:val="24"/>
          <w:szCs w:val="24"/>
        </w:rPr>
        <w:t>dávek</w:t>
      </w:r>
      <w:r w:rsidR="00960813" w:rsidRPr="00FB2049">
        <w:t>)</w:t>
      </w:r>
      <w:r w:rsidR="00A62EEB">
        <w:t>.</w:t>
      </w:r>
    </w:p>
    <w:p w14:paraId="0A87C64B" w14:textId="77777777" w:rsidR="0072475D" w:rsidRPr="0072475D" w:rsidRDefault="0072475D" w:rsidP="0072475D">
      <w:pPr>
        <w:tabs>
          <w:tab w:val="left" w:pos="4820"/>
          <w:tab w:val="right" w:pos="9072"/>
        </w:tabs>
        <w:spacing w:before="0" w:after="0" w:line="340" w:lineRule="exact"/>
        <w:ind w:left="360"/>
        <w:jc w:val="both"/>
        <w:textAlignment w:val="baseline"/>
        <w:rPr>
          <w:rStyle w:val="normaltextrun"/>
          <w:rFonts w:ascii="Calibri" w:hAnsi="Calibri" w:cs="Calibri"/>
        </w:rPr>
      </w:pPr>
    </w:p>
    <w:p w14:paraId="58570F43" w14:textId="124A6B9E" w:rsidR="00C93F00" w:rsidRPr="00FB2049" w:rsidRDefault="00C93F00" w:rsidP="00C93F0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b/>
          <w:bCs/>
        </w:rPr>
      </w:pPr>
      <w:r w:rsidRPr="00FB2049">
        <w:rPr>
          <w:rStyle w:val="normaltextrun"/>
          <w:rFonts w:ascii="Calibri" w:hAnsi="Calibri" w:cs="Calibri"/>
          <w:b/>
          <w:bCs/>
        </w:rPr>
        <w:t xml:space="preserve">Celkem se </w:t>
      </w:r>
      <w:r w:rsidR="00491DC3" w:rsidRPr="00FB2049">
        <w:rPr>
          <w:rStyle w:val="normaltextrun"/>
          <w:rFonts w:ascii="Calibri" w:hAnsi="Calibri" w:cs="Calibri"/>
          <w:b/>
          <w:bCs/>
        </w:rPr>
        <w:t>v tento okamžik objednalo pomocí mechanismu EU 10 mil. dávek pro cca 6,9 mil.</w:t>
      </w:r>
      <w:r w:rsidR="00A62EEB">
        <w:rPr>
          <w:rStyle w:val="normaltextrun"/>
          <w:rFonts w:ascii="Calibri" w:hAnsi="Calibri" w:cs="Calibri"/>
          <w:b/>
          <w:bCs/>
        </w:rPr>
        <w:t xml:space="preserve"> osob.</w:t>
      </w:r>
    </w:p>
    <w:p w14:paraId="74E01BB2" w14:textId="6640B42C" w:rsidR="00C1246A" w:rsidRPr="00C1246A" w:rsidRDefault="00C1246A" w:rsidP="00C1246A">
      <w:pPr>
        <w:pStyle w:val="Odstavecseseznamem"/>
        <w:spacing w:after="120" w:line="340" w:lineRule="exact"/>
        <w:ind w:left="0"/>
        <w:contextualSpacing w:val="0"/>
        <w:jc w:val="both"/>
        <w:rPr>
          <w:rStyle w:val="normaltextrun"/>
          <w:rFonts w:ascii="Calibri" w:hAnsi="Calibri" w:cs="Calibri"/>
          <w:sz w:val="24"/>
          <w:szCs w:val="24"/>
          <w:lang w:eastAsia="cs-CZ"/>
        </w:rPr>
      </w:pPr>
      <w:r w:rsidRPr="00C1246A">
        <w:rPr>
          <w:rStyle w:val="normaltextrun"/>
          <w:rFonts w:ascii="Calibri" w:hAnsi="Calibri" w:cs="Calibri"/>
          <w:sz w:val="24"/>
          <w:szCs w:val="24"/>
          <w:lang w:eastAsia="cs-CZ"/>
        </w:rPr>
        <w:t>Po odeslání závazných objednávek a v případě úspěšného schválení Evropskou agenturou pro léčivé přípravky bude mít ČR garantováno</w:t>
      </w:r>
      <w:r>
        <w:rPr>
          <w:rStyle w:val="normaltextrun"/>
          <w:rFonts w:ascii="Calibri" w:hAnsi="Calibri" w:cs="Calibri"/>
          <w:sz w:val="24"/>
          <w:szCs w:val="24"/>
          <w:lang w:eastAsia="cs-CZ"/>
        </w:rPr>
        <w:t xml:space="preserve"> </w:t>
      </w:r>
      <w:r w:rsidRPr="00C1246A">
        <w:rPr>
          <w:rStyle w:val="normaltextrun"/>
          <w:rFonts w:ascii="Calibri" w:hAnsi="Calibri" w:cs="Calibri"/>
          <w:sz w:val="24"/>
          <w:szCs w:val="24"/>
          <w:lang w:eastAsia="cs-CZ"/>
        </w:rPr>
        <w:t>dodání</w:t>
      </w:r>
      <w:r>
        <w:rPr>
          <w:rStyle w:val="normaltextrun"/>
          <w:rFonts w:ascii="Calibri" w:hAnsi="Calibri" w:cs="Calibri"/>
          <w:sz w:val="24"/>
          <w:szCs w:val="24"/>
          <w:lang w:eastAsia="cs-CZ"/>
        </w:rPr>
        <w:t xml:space="preserve"> </w:t>
      </w:r>
      <w:r w:rsidRPr="00C1246A">
        <w:rPr>
          <w:rStyle w:val="normaltextrun"/>
          <w:rFonts w:ascii="Calibri" w:hAnsi="Calibri" w:cs="Calibri"/>
          <w:sz w:val="24"/>
          <w:szCs w:val="24"/>
          <w:lang w:eastAsia="cs-CZ"/>
        </w:rPr>
        <w:t>dávek</w:t>
      </w:r>
      <w:r w:rsidR="00491DC3">
        <w:rPr>
          <w:rStyle w:val="normaltextrun"/>
          <w:rFonts w:ascii="Calibri" w:hAnsi="Calibri" w:cs="Calibri"/>
          <w:sz w:val="24"/>
          <w:szCs w:val="24"/>
          <w:lang w:eastAsia="cs-CZ"/>
        </w:rPr>
        <w:t xml:space="preserve"> (objednávky k 3.12.2020)</w:t>
      </w:r>
      <w:r w:rsidRPr="00C1246A">
        <w:rPr>
          <w:rStyle w:val="normaltextrun"/>
          <w:rFonts w:ascii="Calibri" w:hAnsi="Calibri" w:cs="Calibri"/>
          <w:sz w:val="24"/>
          <w:szCs w:val="24"/>
          <w:lang w:eastAsia="cs-CZ"/>
        </w:rPr>
        <w:t xml:space="preserve"> pro celkem </w:t>
      </w:r>
      <w:r w:rsidR="00491DC3">
        <w:rPr>
          <w:rStyle w:val="normaltextrun"/>
          <w:rFonts w:ascii="Calibri" w:hAnsi="Calibri" w:cs="Calibri"/>
          <w:sz w:val="24"/>
          <w:szCs w:val="24"/>
          <w:lang w:eastAsia="cs-CZ"/>
        </w:rPr>
        <w:t>6</w:t>
      </w:r>
      <w:r w:rsidRPr="00C1246A">
        <w:rPr>
          <w:rStyle w:val="normaltextrun"/>
          <w:rFonts w:ascii="Calibri" w:hAnsi="Calibri" w:cs="Calibri"/>
          <w:sz w:val="24"/>
          <w:szCs w:val="24"/>
          <w:lang w:eastAsia="cs-CZ"/>
        </w:rPr>
        <w:t>,</w:t>
      </w:r>
      <w:r w:rsidR="00495740">
        <w:rPr>
          <w:rStyle w:val="normaltextrun"/>
          <w:rFonts w:ascii="Calibri" w:hAnsi="Calibri" w:cs="Calibri"/>
          <w:sz w:val="24"/>
          <w:szCs w:val="24"/>
          <w:lang w:eastAsia="cs-CZ"/>
        </w:rPr>
        <w:t>9</w:t>
      </w:r>
      <w:r w:rsidR="00495740" w:rsidRPr="00C1246A">
        <w:rPr>
          <w:rStyle w:val="normaltextrun"/>
          <w:rFonts w:ascii="Calibri" w:hAnsi="Calibri" w:cs="Calibri"/>
          <w:sz w:val="24"/>
          <w:szCs w:val="24"/>
          <w:lang w:eastAsia="cs-CZ"/>
        </w:rPr>
        <w:t xml:space="preserve"> </w:t>
      </w:r>
      <w:r w:rsidRPr="00C1246A">
        <w:rPr>
          <w:rStyle w:val="normaltextrun"/>
          <w:rFonts w:ascii="Calibri" w:hAnsi="Calibri" w:cs="Calibri"/>
          <w:sz w:val="24"/>
          <w:szCs w:val="24"/>
          <w:lang w:eastAsia="cs-CZ"/>
        </w:rPr>
        <w:t>mil. osob,</w:t>
      </w:r>
      <w:r>
        <w:rPr>
          <w:rStyle w:val="normaltextrun"/>
          <w:rFonts w:ascii="Calibri" w:hAnsi="Calibri" w:cs="Calibri"/>
          <w:sz w:val="24"/>
          <w:szCs w:val="24"/>
          <w:lang w:eastAsia="cs-CZ"/>
        </w:rPr>
        <w:t xml:space="preserve"> </w:t>
      </w:r>
      <w:r w:rsidRPr="00C1246A">
        <w:rPr>
          <w:rStyle w:val="normaltextrun"/>
          <w:rFonts w:ascii="Calibri" w:hAnsi="Calibri" w:cs="Calibri"/>
          <w:sz w:val="24"/>
          <w:szCs w:val="24"/>
          <w:lang w:eastAsia="cs-CZ"/>
        </w:rPr>
        <w:t>za cenu v celkové výši cca 1,8 miliardy Kč</w:t>
      </w:r>
      <w:r>
        <w:rPr>
          <w:rStyle w:val="normaltextrun"/>
          <w:rFonts w:ascii="Calibri" w:hAnsi="Calibri" w:cs="Calibri"/>
          <w:sz w:val="24"/>
          <w:szCs w:val="24"/>
          <w:lang w:eastAsia="cs-CZ"/>
        </w:rPr>
        <w:t>. Předpokládané možné dodávky dle čtvrtletí</w:t>
      </w:r>
      <w:r w:rsidRPr="00C1246A">
        <w:rPr>
          <w:rStyle w:val="normaltextrun"/>
          <w:rFonts w:ascii="Calibri" w:hAnsi="Calibri" w:cs="Calibri"/>
          <w:sz w:val="24"/>
          <w:szCs w:val="24"/>
          <w:lang w:eastAsia="cs-CZ"/>
        </w:rPr>
        <w:t xml:space="preserve"> (zaokrouhleno</w:t>
      </w:r>
      <w:r w:rsidR="00495740">
        <w:rPr>
          <w:rStyle w:val="normaltextrun"/>
          <w:rFonts w:ascii="Calibri" w:hAnsi="Calibri" w:cs="Calibri"/>
          <w:sz w:val="24"/>
          <w:szCs w:val="24"/>
          <w:lang w:eastAsia="cs-CZ"/>
        </w:rPr>
        <w:t>, konečná čísla navíc budou záležet na rychlosti schválení dané vakcíny Evropskou agenturou pro léčivé přípravky</w:t>
      </w:r>
      <w:r w:rsidRPr="00C1246A">
        <w:rPr>
          <w:rStyle w:val="normaltextrun"/>
          <w:rFonts w:ascii="Calibri" w:hAnsi="Calibri" w:cs="Calibri"/>
          <w:sz w:val="24"/>
          <w:szCs w:val="24"/>
          <w:lang w:eastAsia="cs-CZ"/>
        </w:rPr>
        <w:t xml:space="preserve">): </w:t>
      </w:r>
    </w:p>
    <w:p w14:paraId="54937D5D" w14:textId="0CF31C4B" w:rsidR="00C1246A" w:rsidRPr="00C1246A" w:rsidRDefault="00C1246A" w:rsidP="00C1246A">
      <w:pPr>
        <w:pStyle w:val="Odstavecseseznamem"/>
        <w:numPr>
          <w:ilvl w:val="0"/>
          <w:numId w:val="32"/>
        </w:numPr>
        <w:spacing w:after="120" w:line="340" w:lineRule="exact"/>
        <w:contextualSpacing w:val="0"/>
        <w:jc w:val="both"/>
        <w:rPr>
          <w:rStyle w:val="normaltextrun"/>
          <w:rFonts w:ascii="Calibri" w:hAnsi="Calibri" w:cs="Calibri"/>
          <w:sz w:val="24"/>
          <w:szCs w:val="24"/>
          <w:lang w:eastAsia="cs-CZ"/>
        </w:rPr>
      </w:pPr>
      <w:r w:rsidRPr="00C1246A">
        <w:rPr>
          <w:rStyle w:val="normaltextrun"/>
          <w:rFonts w:ascii="Calibri" w:hAnsi="Calibri" w:cs="Calibri"/>
          <w:sz w:val="24"/>
          <w:szCs w:val="24"/>
          <w:lang w:eastAsia="cs-CZ"/>
        </w:rPr>
        <w:t>konec 2020 (</w:t>
      </w:r>
      <w:r>
        <w:rPr>
          <w:rStyle w:val="normaltextrun"/>
          <w:rFonts w:ascii="Calibri" w:hAnsi="Calibri" w:cs="Calibri"/>
          <w:sz w:val="24"/>
          <w:szCs w:val="24"/>
          <w:lang w:eastAsia="cs-CZ"/>
        </w:rPr>
        <w:t>minimálně reálné</w:t>
      </w:r>
      <w:r w:rsidRPr="00C1246A">
        <w:rPr>
          <w:rStyle w:val="normaltextrun"/>
          <w:rFonts w:ascii="Calibri" w:hAnsi="Calibri" w:cs="Calibri"/>
          <w:sz w:val="24"/>
          <w:szCs w:val="24"/>
          <w:lang w:eastAsia="cs-CZ"/>
        </w:rPr>
        <w:t>): dávky pro 400 tis. osob,</w:t>
      </w:r>
    </w:p>
    <w:p w14:paraId="393D42CF" w14:textId="59778CA0" w:rsidR="00C1246A" w:rsidRPr="00C1246A" w:rsidRDefault="00C1246A" w:rsidP="00C1246A">
      <w:pPr>
        <w:pStyle w:val="Odstavecseseznamem"/>
        <w:numPr>
          <w:ilvl w:val="0"/>
          <w:numId w:val="32"/>
        </w:numPr>
        <w:spacing w:after="120" w:line="340" w:lineRule="exact"/>
        <w:contextualSpacing w:val="0"/>
        <w:jc w:val="both"/>
        <w:rPr>
          <w:rStyle w:val="normaltextrun"/>
          <w:rFonts w:ascii="Calibri" w:hAnsi="Calibri" w:cs="Calibri"/>
          <w:sz w:val="24"/>
          <w:szCs w:val="24"/>
          <w:lang w:eastAsia="cs-CZ"/>
        </w:rPr>
      </w:pPr>
      <w:r w:rsidRPr="00C1246A">
        <w:rPr>
          <w:rStyle w:val="normaltextrun"/>
          <w:rFonts w:ascii="Calibri" w:hAnsi="Calibri" w:cs="Calibri"/>
          <w:sz w:val="24"/>
          <w:szCs w:val="24"/>
          <w:lang w:eastAsia="cs-CZ"/>
        </w:rPr>
        <w:t xml:space="preserve">1-3/2021 </w:t>
      </w:r>
      <w:r w:rsidR="001578BA">
        <w:rPr>
          <w:rStyle w:val="normaltextrun"/>
          <w:rFonts w:ascii="Calibri" w:hAnsi="Calibri" w:cs="Calibri"/>
          <w:sz w:val="24"/>
          <w:szCs w:val="24"/>
          <w:lang w:eastAsia="cs-CZ"/>
        </w:rPr>
        <w:tab/>
      </w:r>
      <w:r w:rsidRPr="00C1246A">
        <w:rPr>
          <w:rStyle w:val="normaltextrun"/>
          <w:rFonts w:ascii="Calibri" w:hAnsi="Calibri" w:cs="Calibri"/>
          <w:sz w:val="24"/>
          <w:szCs w:val="24"/>
          <w:lang w:eastAsia="cs-CZ"/>
        </w:rPr>
        <w:t xml:space="preserve">dávky pro </w:t>
      </w:r>
      <w:r w:rsidR="00495740">
        <w:rPr>
          <w:rStyle w:val="normaltextrun"/>
          <w:rFonts w:ascii="Calibri" w:hAnsi="Calibri" w:cs="Calibri"/>
          <w:sz w:val="24"/>
          <w:szCs w:val="24"/>
          <w:lang w:eastAsia="cs-CZ"/>
        </w:rPr>
        <w:t xml:space="preserve">1 mil. </w:t>
      </w:r>
      <w:r w:rsidRPr="00C1246A">
        <w:rPr>
          <w:rStyle w:val="normaltextrun"/>
          <w:rFonts w:ascii="Calibri" w:hAnsi="Calibri" w:cs="Calibri"/>
          <w:sz w:val="24"/>
          <w:szCs w:val="24"/>
          <w:lang w:eastAsia="cs-CZ"/>
        </w:rPr>
        <w:t xml:space="preserve"> osob,</w:t>
      </w:r>
    </w:p>
    <w:p w14:paraId="7E38D9DC" w14:textId="5A5AC398" w:rsidR="00C1246A" w:rsidRPr="00C1246A" w:rsidRDefault="00C1246A" w:rsidP="00C1246A">
      <w:pPr>
        <w:pStyle w:val="Odstavecseseznamem"/>
        <w:numPr>
          <w:ilvl w:val="0"/>
          <w:numId w:val="32"/>
        </w:numPr>
        <w:spacing w:after="120" w:line="340" w:lineRule="exact"/>
        <w:contextualSpacing w:val="0"/>
        <w:jc w:val="both"/>
        <w:rPr>
          <w:rStyle w:val="normaltextrun"/>
          <w:rFonts w:ascii="Calibri" w:hAnsi="Calibri" w:cs="Calibri"/>
          <w:sz w:val="24"/>
          <w:szCs w:val="24"/>
          <w:lang w:eastAsia="cs-CZ"/>
        </w:rPr>
      </w:pPr>
      <w:r w:rsidRPr="00C1246A">
        <w:rPr>
          <w:rStyle w:val="normaltextrun"/>
          <w:rFonts w:ascii="Calibri" w:hAnsi="Calibri" w:cs="Calibri"/>
          <w:sz w:val="24"/>
          <w:szCs w:val="24"/>
          <w:lang w:eastAsia="cs-CZ"/>
        </w:rPr>
        <w:t xml:space="preserve">4-6/2021 </w:t>
      </w:r>
      <w:r w:rsidR="001578BA">
        <w:rPr>
          <w:rStyle w:val="normaltextrun"/>
          <w:rFonts w:ascii="Calibri" w:hAnsi="Calibri" w:cs="Calibri"/>
          <w:sz w:val="24"/>
          <w:szCs w:val="24"/>
          <w:lang w:eastAsia="cs-CZ"/>
        </w:rPr>
        <w:tab/>
      </w:r>
      <w:r w:rsidRPr="00C1246A">
        <w:rPr>
          <w:rStyle w:val="normaltextrun"/>
          <w:rFonts w:ascii="Calibri" w:hAnsi="Calibri" w:cs="Calibri"/>
          <w:sz w:val="24"/>
          <w:szCs w:val="24"/>
          <w:lang w:eastAsia="cs-CZ"/>
        </w:rPr>
        <w:t>dávky pro 2,</w:t>
      </w:r>
      <w:r w:rsidR="00495740">
        <w:rPr>
          <w:rStyle w:val="normaltextrun"/>
          <w:rFonts w:ascii="Calibri" w:hAnsi="Calibri" w:cs="Calibri"/>
          <w:sz w:val="24"/>
          <w:szCs w:val="24"/>
          <w:lang w:eastAsia="cs-CZ"/>
        </w:rPr>
        <w:t>62</w:t>
      </w:r>
      <w:r w:rsidR="00495740" w:rsidRPr="00C1246A">
        <w:rPr>
          <w:rStyle w:val="normaltextrun"/>
          <w:rFonts w:ascii="Calibri" w:hAnsi="Calibri" w:cs="Calibri"/>
          <w:sz w:val="24"/>
          <w:szCs w:val="24"/>
          <w:lang w:eastAsia="cs-CZ"/>
        </w:rPr>
        <w:t xml:space="preserve"> </w:t>
      </w:r>
      <w:r w:rsidRPr="00C1246A">
        <w:rPr>
          <w:rStyle w:val="normaltextrun"/>
          <w:rFonts w:ascii="Calibri" w:hAnsi="Calibri" w:cs="Calibri"/>
          <w:sz w:val="24"/>
          <w:szCs w:val="24"/>
          <w:lang w:eastAsia="cs-CZ"/>
        </w:rPr>
        <w:t>mil. osob,</w:t>
      </w:r>
    </w:p>
    <w:p w14:paraId="660AC4E1" w14:textId="670E8684" w:rsidR="00C1246A" w:rsidRPr="00C1246A" w:rsidRDefault="00C1246A" w:rsidP="00C1246A">
      <w:pPr>
        <w:pStyle w:val="Odstavecseseznamem"/>
        <w:numPr>
          <w:ilvl w:val="0"/>
          <w:numId w:val="32"/>
        </w:numPr>
        <w:spacing w:after="120" w:line="340" w:lineRule="exact"/>
        <w:contextualSpacing w:val="0"/>
        <w:jc w:val="both"/>
        <w:rPr>
          <w:rStyle w:val="normaltextrun"/>
          <w:rFonts w:ascii="Calibri" w:hAnsi="Calibri" w:cs="Calibri"/>
          <w:sz w:val="24"/>
          <w:szCs w:val="24"/>
          <w:lang w:eastAsia="cs-CZ"/>
        </w:rPr>
      </w:pPr>
      <w:r w:rsidRPr="00C1246A">
        <w:rPr>
          <w:rStyle w:val="normaltextrun"/>
          <w:rFonts w:ascii="Calibri" w:hAnsi="Calibri" w:cs="Calibri"/>
          <w:sz w:val="24"/>
          <w:szCs w:val="24"/>
          <w:lang w:eastAsia="cs-CZ"/>
        </w:rPr>
        <w:t xml:space="preserve">7-9/2021 </w:t>
      </w:r>
      <w:r w:rsidR="001578BA">
        <w:rPr>
          <w:rStyle w:val="normaltextrun"/>
          <w:rFonts w:ascii="Calibri" w:hAnsi="Calibri" w:cs="Calibri"/>
          <w:sz w:val="24"/>
          <w:szCs w:val="24"/>
          <w:lang w:eastAsia="cs-CZ"/>
        </w:rPr>
        <w:tab/>
      </w:r>
      <w:r w:rsidRPr="00C1246A">
        <w:rPr>
          <w:rStyle w:val="normaltextrun"/>
          <w:rFonts w:ascii="Calibri" w:hAnsi="Calibri" w:cs="Calibri"/>
          <w:sz w:val="24"/>
          <w:szCs w:val="24"/>
          <w:lang w:eastAsia="cs-CZ"/>
        </w:rPr>
        <w:t xml:space="preserve">dávky pro </w:t>
      </w:r>
      <w:r w:rsidR="00495740">
        <w:rPr>
          <w:rStyle w:val="normaltextrun"/>
          <w:rFonts w:ascii="Calibri" w:hAnsi="Calibri" w:cs="Calibri"/>
          <w:sz w:val="24"/>
          <w:szCs w:val="24"/>
          <w:lang w:eastAsia="cs-CZ"/>
        </w:rPr>
        <w:t>2,42</w:t>
      </w:r>
      <w:r w:rsidRPr="00C1246A">
        <w:rPr>
          <w:rStyle w:val="normaltextrun"/>
          <w:rFonts w:ascii="Calibri" w:hAnsi="Calibri" w:cs="Calibri"/>
          <w:sz w:val="24"/>
          <w:szCs w:val="24"/>
          <w:lang w:eastAsia="cs-CZ"/>
        </w:rPr>
        <w:t xml:space="preserve"> mil. osob,</w:t>
      </w:r>
    </w:p>
    <w:p w14:paraId="462FE499" w14:textId="334B702A" w:rsidR="00C1246A" w:rsidRPr="00C1246A" w:rsidRDefault="00C1246A" w:rsidP="00C1246A">
      <w:pPr>
        <w:pStyle w:val="Odstavecseseznamem"/>
        <w:numPr>
          <w:ilvl w:val="0"/>
          <w:numId w:val="32"/>
        </w:numPr>
        <w:spacing w:after="120" w:line="340" w:lineRule="exact"/>
        <w:contextualSpacing w:val="0"/>
        <w:jc w:val="both"/>
        <w:rPr>
          <w:rStyle w:val="normaltextrun"/>
          <w:rFonts w:ascii="Calibri" w:hAnsi="Calibri" w:cs="Calibri"/>
          <w:sz w:val="24"/>
          <w:szCs w:val="24"/>
          <w:lang w:eastAsia="cs-CZ"/>
        </w:rPr>
      </w:pPr>
      <w:r w:rsidRPr="00C1246A">
        <w:rPr>
          <w:rStyle w:val="normaltextrun"/>
          <w:rFonts w:ascii="Calibri" w:hAnsi="Calibri" w:cs="Calibri"/>
          <w:sz w:val="24"/>
          <w:szCs w:val="24"/>
          <w:lang w:eastAsia="cs-CZ"/>
        </w:rPr>
        <w:t xml:space="preserve">10-12/2021 </w:t>
      </w:r>
      <w:r w:rsidR="001578BA">
        <w:rPr>
          <w:rStyle w:val="normaltextrun"/>
          <w:rFonts w:ascii="Calibri" w:hAnsi="Calibri" w:cs="Calibri"/>
          <w:sz w:val="24"/>
          <w:szCs w:val="24"/>
          <w:lang w:eastAsia="cs-CZ"/>
        </w:rPr>
        <w:tab/>
      </w:r>
      <w:r w:rsidRPr="00C1246A">
        <w:rPr>
          <w:rStyle w:val="normaltextrun"/>
          <w:rFonts w:ascii="Calibri" w:hAnsi="Calibri" w:cs="Calibri"/>
          <w:sz w:val="24"/>
          <w:szCs w:val="24"/>
          <w:lang w:eastAsia="cs-CZ"/>
        </w:rPr>
        <w:t xml:space="preserve">dávky pro </w:t>
      </w:r>
      <w:r w:rsidR="00495740">
        <w:rPr>
          <w:rStyle w:val="normaltextrun"/>
          <w:rFonts w:ascii="Calibri" w:hAnsi="Calibri" w:cs="Calibri"/>
          <w:sz w:val="24"/>
          <w:szCs w:val="24"/>
          <w:lang w:eastAsia="cs-CZ"/>
        </w:rPr>
        <w:t>382</w:t>
      </w:r>
      <w:r w:rsidR="00495740" w:rsidRPr="00C1246A">
        <w:rPr>
          <w:rStyle w:val="normaltextrun"/>
          <w:rFonts w:ascii="Calibri" w:hAnsi="Calibri" w:cs="Calibri"/>
          <w:sz w:val="24"/>
          <w:szCs w:val="24"/>
          <w:lang w:eastAsia="cs-CZ"/>
        </w:rPr>
        <w:t xml:space="preserve"> </w:t>
      </w:r>
      <w:r w:rsidRPr="00C1246A">
        <w:rPr>
          <w:rStyle w:val="normaltextrun"/>
          <w:rFonts w:ascii="Calibri" w:hAnsi="Calibri" w:cs="Calibri"/>
          <w:sz w:val="24"/>
          <w:szCs w:val="24"/>
          <w:lang w:eastAsia="cs-CZ"/>
        </w:rPr>
        <w:t>tis. osob.</w:t>
      </w:r>
    </w:p>
    <w:p w14:paraId="1890E81F" w14:textId="31CE778C" w:rsidR="00EE3361" w:rsidRDefault="00495740" w:rsidP="00C93F0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 xml:space="preserve">Další dávky </w:t>
      </w:r>
      <w:r w:rsidR="00FB2049">
        <w:rPr>
          <w:rStyle w:val="eop"/>
          <w:rFonts w:ascii="Calibri" w:hAnsi="Calibri" w:cs="Calibri"/>
        </w:rPr>
        <w:t xml:space="preserve">budou dostupné </w:t>
      </w:r>
      <w:r>
        <w:rPr>
          <w:rStyle w:val="eop"/>
          <w:rFonts w:ascii="Calibri" w:hAnsi="Calibri" w:cs="Calibri"/>
        </w:rPr>
        <w:t>v roce 2022</w:t>
      </w:r>
      <w:r w:rsidR="00FB2049">
        <w:rPr>
          <w:rStyle w:val="eop"/>
          <w:rFonts w:ascii="Calibri" w:hAnsi="Calibri" w:cs="Calibri"/>
        </w:rPr>
        <w:t>.</w:t>
      </w:r>
    </w:p>
    <w:p w14:paraId="58CD04D5" w14:textId="77777777" w:rsidR="00ED2973" w:rsidRDefault="00ED2973" w:rsidP="00C93F0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</w:p>
    <w:p w14:paraId="2D81BC2D" w14:textId="574F7AE8" w:rsidR="00C93F00" w:rsidRPr="00FA2A14" w:rsidRDefault="00897DCE" w:rsidP="00FA2A14">
      <w:pPr>
        <w:pStyle w:val="Nadpis1"/>
      </w:pPr>
      <w:bookmarkStart w:id="14" w:name="_Toc58138524"/>
      <w:r>
        <w:rPr>
          <w:rStyle w:val="eop"/>
          <w:caps w:val="0"/>
        </w:rPr>
        <w:t>12</w:t>
      </w:r>
      <w:r w:rsidR="00FA2A14" w:rsidRPr="00FA2A14">
        <w:rPr>
          <w:rStyle w:val="eop"/>
          <w:caps w:val="0"/>
        </w:rPr>
        <w:t>.</w:t>
      </w:r>
      <w:r w:rsidR="005D597E">
        <w:rPr>
          <w:rStyle w:val="eop"/>
          <w:caps w:val="0"/>
        </w:rPr>
        <w:t xml:space="preserve"> </w:t>
      </w:r>
      <w:r w:rsidR="00FA2A14" w:rsidRPr="00FA2A14">
        <w:rPr>
          <w:rStyle w:val="eop"/>
          <w:caps w:val="0"/>
        </w:rPr>
        <w:t>REGISTRACE OČKOVÁNÍ A SLEDOVÁNÍ NEŽÁDOUCÍCH ÚČINKŮ</w:t>
      </w:r>
      <w:bookmarkEnd w:id="14"/>
    </w:p>
    <w:p w14:paraId="28A55B10" w14:textId="77777777" w:rsidR="00F545A1" w:rsidRPr="00F545A1" w:rsidRDefault="00F545A1" w:rsidP="00F545A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cs="Calibri"/>
        </w:rPr>
      </w:pPr>
    </w:p>
    <w:p w14:paraId="651CCC0F" w14:textId="58F77737" w:rsidR="00C93F00" w:rsidRPr="00D6656C" w:rsidRDefault="00C93F00" w:rsidP="00D6656C">
      <w:pPr>
        <w:spacing w:after="120" w:line="320" w:lineRule="exact"/>
        <w:jc w:val="both"/>
        <w:rPr>
          <w:rStyle w:val="normaltextrun"/>
          <w:rFonts w:ascii="Calibri" w:hAnsi="Calibri" w:cs="Calibri"/>
          <w:sz w:val="24"/>
          <w:szCs w:val="24"/>
          <w:lang w:eastAsia="cs-CZ"/>
        </w:rPr>
      </w:pPr>
      <w:r w:rsidRPr="00D6656C">
        <w:rPr>
          <w:rStyle w:val="normaltextrun"/>
          <w:rFonts w:ascii="Calibri" w:hAnsi="Calibri" w:cs="Calibri"/>
          <w:sz w:val="24"/>
          <w:szCs w:val="24"/>
          <w:lang w:eastAsia="cs-CZ"/>
        </w:rPr>
        <w:t xml:space="preserve">Současně se zahájením očkování proti onemocnění </w:t>
      </w:r>
      <w:r w:rsidR="00343E21" w:rsidRPr="00D6656C">
        <w:rPr>
          <w:rStyle w:val="normaltextrun"/>
          <w:rFonts w:ascii="Calibri" w:hAnsi="Calibri" w:cs="Calibri"/>
          <w:sz w:val="24"/>
          <w:szCs w:val="24"/>
          <w:lang w:eastAsia="cs-CZ"/>
        </w:rPr>
        <w:t>COVID</w:t>
      </w:r>
      <w:r w:rsidRPr="00D6656C">
        <w:rPr>
          <w:rStyle w:val="normaltextrun"/>
          <w:rFonts w:ascii="Calibri" w:hAnsi="Calibri" w:cs="Calibri"/>
          <w:sz w:val="24"/>
          <w:szCs w:val="24"/>
          <w:lang w:eastAsia="cs-CZ"/>
        </w:rPr>
        <w:t xml:space="preserve">-19 musí být dostupný monitorovací systém ke zjišťování proočkovanosti populace, účinnosti a bezpečnosti očkování.  </w:t>
      </w:r>
    </w:p>
    <w:p w14:paraId="08CB2323" w14:textId="15F08F05" w:rsidR="00A778B1" w:rsidRPr="00D6656C" w:rsidRDefault="00C93F00" w:rsidP="00D6656C">
      <w:pPr>
        <w:spacing w:after="120" w:line="320" w:lineRule="exact"/>
        <w:jc w:val="both"/>
        <w:rPr>
          <w:rStyle w:val="normaltextrun"/>
          <w:rFonts w:ascii="Calibri" w:hAnsi="Calibri" w:cs="Calibri"/>
          <w:sz w:val="24"/>
          <w:szCs w:val="24"/>
          <w:lang w:eastAsia="cs-CZ"/>
        </w:rPr>
      </w:pPr>
      <w:r w:rsidRPr="00D6656C">
        <w:rPr>
          <w:rStyle w:val="normaltextrun"/>
          <w:rFonts w:ascii="Calibri" w:hAnsi="Calibri" w:cs="Calibri"/>
          <w:sz w:val="24"/>
          <w:szCs w:val="24"/>
          <w:lang w:eastAsia="cs-CZ"/>
        </w:rPr>
        <w:t xml:space="preserve">Pro okamžité sledování a zaznamenávání proočkovanosti do Informačního systému infekčních nemocí (ISIN) bude rozšířen zabezpečený modul ISIN a </w:t>
      </w:r>
      <w:r w:rsidR="006C774D" w:rsidRPr="00D6656C">
        <w:rPr>
          <w:rStyle w:val="normaltextrun"/>
          <w:rFonts w:ascii="Calibri" w:hAnsi="Calibri" w:cs="Calibri"/>
          <w:sz w:val="24"/>
          <w:szCs w:val="24"/>
          <w:lang w:eastAsia="cs-CZ"/>
        </w:rPr>
        <w:t xml:space="preserve">Centrální úložiště dat </w:t>
      </w:r>
      <w:r w:rsidR="00D729D0" w:rsidRPr="00D6656C">
        <w:rPr>
          <w:rStyle w:val="normaltextrun"/>
          <w:rFonts w:ascii="Calibri" w:hAnsi="Calibri" w:cs="Calibri"/>
          <w:sz w:val="24"/>
          <w:szCs w:val="24"/>
          <w:lang w:eastAsia="cs-CZ"/>
        </w:rPr>
        <w:t>ÚZIS ČR</w:t>
      </w:r>
      <w:r w:rsidRPr="00D6656C">
        <w:rPr>
          <w:rStyle w:val="normaltextrun"/>
          <w:rFonts w:ascii="Calibri" w:hAnsi="Calibri" w:cs="Calibri"/>
          <w:sz w:val="24"/>
          <w:szCs w:val="24"/>
          <w:lang w:eastAsia="cs-CZ"/>
        </w:rPr>
        <w:t xml:space="preserve"> pro poskytovatele zdravotních služeb. Úpravy v ISIN a technické komponentě CÚD zajistí ÚZIS ČR.</w:t>
      </w:r>
    </w:p>
    <w:p w14:paraId="1D465515" w14:textId="5699CE1C" w:rsidR="00E21414" w:rsidRPr="00D6656C" w:rsidRDefault="00A778B1" w:rsidP="00D6656C">
      <w:pPr>
        <w:spacing w:after="120" w:line="320" w:lineRule="exact"/>
        <w:jc w:val="both"/>
        <w:rPr>
          <w:rStyle w:val="normaltextrun"/>
          <w:rFonts w:ascii="Calibri" w:hAnsi="Calibri" w:cs="Calibri"/>
          <w:sz w:val="24"/>
          <w:szCs w:val="24"/>
          <w:lang w:eastAsia="cs-CZ"/>
        </w:rPr>
      </w:pPr>
      <w:r w:rsidRPr="00D6656C">
        <w:rPr>
          <w:rStyle w:val="normaltextrun"/>
          <w:rFonts w:ascii="Calibri" w:hAnsi="Calibri" w:cs="Calibri"/>
          <w:sz w:val="24"/>
          <w:szCs w:val="24"/>
          <w:lang w:eastAsia="cs-CZ"/>
        </w:rPr>
        <w:t>Data takto budou sbírána v rámci zákonného zmocnění, které je již nyní platné pro celý Národní zdravotnický informační systém. Režim sběru i zpracování dat bude podřízen již nyní platným normám a bude probíhat striktně v souladu s pravidly GDPR. Po</w:t>
      </w:r>
      <w:r w:rsidR="00E21414" w:rsidRPr="00D6656C">
        <w:rPr>
          <w:rStyle w:val="normaltextrun"/>
          <w:rFonts w:ascii="Calibri" w:hAnsi="Calibri" w:cs="Calibri"/>
          <w:sz w:val="24"/>
          <w:szCs w:val="24"/>
          <w:lang w:eastAsia="cs-CZ"/>
        </w:rPr>
        <w:t>skytovatel zdravotních služeb si bude moci zobrazit údaje o pacientovi</w:t>
      </w:r>
      <w:r w:rsidR="00D729D0" w:rsidRPr="00D6656C">
        <w:rPr>
          <w:rStyle w:val="normaltextrun"/>
          <w:rFonts w:ascii="Calibri" w:hAnsi="Calibri" w:cs="Calibri"/>
          <w:sz w:val="24"/>
          <w:szCs w:val="24"/>
          <w:lang w:eastAsia="cs-CZ"/>
        </w:rPr>
        <w:t>, u něhož plánuje očkování</w:t>
      </w:r>
      <w:r w:rsidR="00E21414" w:rsidRPr="00D6656C">
        <w:rPr>
          <w:rStyle w:val="normaltextrun"/>
          <w:rFonts w:ascii="Calibri" w:hAnsi="Calibri" w:cs="Calibri"/>
          <w:sz w:val="24"/>
          <w:szCs w:val="24"/>
          <w:lang w:eastAsia="cs-CZ"/>
        </w:rPr>
        <w:t xml:space="preserve">, </w:t>
      </w:r>
      <w:r w:rsidR="00482E27" w:rsidRPr="00D6656C">
        <w:rPr>
          <w:rStyle w:val="normaltextrun"/>
          <w:rFonts w:ascii="Calibri" w:hAnsi="Calibri" w:cs="Calibri"/>
          <w:sz w:val="24"/>
          <w:szCs w:val="24"/>
          <w:lang w:eastAsia="cs-CZ"/>
        </w:rPr>
        <w:t xml:space="preserve">údaje o </w:t>
      </w:r>
      <w:r w:rsidR="00E21414" w:rsidRPr="00D6656C">
        <w:rPr>
          <w:rStyle w:val="normaltextrun"/>
          <w:rFonts w:ascii="Calibri" w:hAnsi="Calibri" w:cs="Calibri"/>
          <w:sz w:val="24"/>
          <w:szCs w:val="24"/>
          <w:lang w:eastAsia="cs-CZ"/>
        </w:rPr>
        <w:t>výsledcích jeho testů, informace v rozsahu aktuální verze elektronické žádanky na COVID-19, historii očkování, eventuelně i karanténách a izolacích.</w:t>
      </w:r>
      <w:r w:rsidR="00D729D0" w:rsidRPr="00D6656C">
        <w:rPr>
          <w:rStyle w:val="normaltextrun"/>
          <w:rFonts w:ascii="Calibri" w:hAnsi="Calibri" w:cs="Calibri"/>
          <w:sz w:val="24"/>
          <w:szCs w:val="24"/>
          <w:lang w:eastAsia="cs-CZ"/>
        </w:rPr>
        <w:t xml:space="preserve"> </w:t>
      </w:r>
      <w:r w:rsidR="00482E27" w:rsidRPr="00D6656C">
        <w:rPr>
          <w:rStyle w:val="normaltextrun"/>
          <w:rFonts w:ascii="Calibri" w:hAnsi="Calibri" w:cs="Calibri"/>
          <w:sz w:val="24"/>
          <w:szCs w:val="24"/>
          <w:lang w:eastAsia="cs-CZ"/>
        </w:rPr>
        <w:t>O </w:t>
      </w:r>
      <w:r w:rsidR="00D729D0" w:rsidRPr="00D6656C">
        <w:rPr>
          <w:rStyle w:val="normaltextrun"/>
          <w:rFonts w:ascii="Calibri" w:hAnsi="Calibri" w:cs="Calibri"/>
          <w:sz w:val="24"/>
          <w:szCs w:val="24"/>
          <w:lang w:eastAsia="cs-CZ"/>
        </w:rPr>
        <w:t>zobrazení těchto údajů bude v modulu ISIN</w:t>
      </w:r>
      <w:r w:rsidR="00E21414" w:rsidRPr="00D6656C">
        <w:rPr>
          <w:rStyle w:val="normaltextrun"/>
          <w:rFonts w:ascii="Calibri" w:hAnsi="Calibri" w:cs="Calibri"/>
          <w:sz w:val="24"/>
          <w:szCs w:val="24"/>
          <w:lang w:eastAsia="cs-CZ"/>
        </w:rPr>
        <w:t xml:space="preserve"> </w:t>
      </w:r>
      <w:r w:rsidR="00D729D0" w:rsidRPr="00D6656C">
        <w:rPr>
          <w:rStyle w:val="normaltextrun"/>
          <w:rFonts w:ascii="Calibri" w:hAnsi="Calibri" w:cs="Calibri"/>
          <w:sz w:val="24"/>
          <w:szCs w:val="24"/>
          <w:lang w:eastAsia="cs-CZ"/>
        </w:rPr>
        <w:t>existovat záznam (log)</w:t>
      </w:r>
      <w:r w:rsidR="00C93F00" w:rsidRPr="00D6656C">
        <w:rPr>
          <w:rStyle w:val="normaltextrun"/>
          <w:rFonts w:ascii="Calibri" w:hAnsi="Calibri" w:cs="Calibri"/>
          <w:sz w:val="24"/>
          <w:szCs w:val="24"/>
          <w:lang w:eastAsia="cs-CZ"/>
        </w:rPr>
        <w:t>. V systému budou u</w:t>
      </w:r>
      <w:r w:rsidR="00482E27" w:rsidRPr="00D6656C">
        <w:rPr>
          <w:rStyle w:val="normaltextrun"/>
          <w:rFonts w:ascii="Calibri" w:hAnsi="Calibri" w:cs="Calibri"/>
          <w:sz w:val="24"/>
          <w:szCs w:val="24"/>
          <w:lang w:eastAsia="cs-CZ"/>
        </w:rPr>
        <w:t> </w:t>
      </w:r>
      <w:r w:rsidR="00C93F00" w:rsidRPr="00D6656C">
        <w:rPr>
          <w:rStyle w:val="normaltextrun"/>
          <w:rFonts w:ascii="Calibri" w:hAnsi="Calibri" w:cs="Calibri"/>
          <w:sz w:val="24"/>
          <w:szCs w:val="24"/>
          <w:lang w:eastAsia="cs-CZ"/>
        </w:rPr>
        <w:t xml:space="preserve">každého jednoznačně identifikovaného (pro </w:t>
      </w:r>
      <w:r w:rsidR="00E21414" w:rsidRPr="00D6656C">
        <w:rPr>
          <w:rStyle w:val="normaltextrun"/>
          <w:rFonts w:ascii="Calibri" w:hAnsi="Calibri" w:cs="Calibri"/>
          <w:sz w:val="24"/>
          <w:szCs w:val="24"/>
          <w:lang w:eastAsia="cs-CZ"/>
        </w:rPr>
        <w:t>občany ČR dle ROB</w:t>
      </w:r>
      <w:r w:rsidR="00C93F00" w:rsidRPr="00D6656C">
        <w:rPr>
          <w:rStyle w:val="normaltextrun"/>
          <w:rFonts w:ascii="Calibri" w:hAnsi="Calibri" w:cs="Calibri"/>
          <w:sz w:val="24"/>
          <w:szCs w:val="24"/>
          <w:lang w:eastAsia="cs-CZ"/>
        </w:rPr>
        <w:t>) očkovaného jedince sledován údaj o zdravotní pojišťovně, o datu očkování první a druhé dávky, subjektu (IČ, případně pracoviště), který očkování provedl a údaj o použité očkovací látce</w:t>
      </w:r>
      <w:r w:rsidR="006E1237" w:rsidRPr="00D6656C">
        <w:rPr>
          <w:rStyle w:val="normaltextrun"/>
          <w:rFonts w:ascii="Calibri" w:hAnsi="Calibri" w:cs="Calibri"/>
          <w:sz w:val="24"/>
          <w:szCs w:val="24"/>
          <w:lang w:eastAsia="cs-CZ"/>
        </w:rPr>
        <w:t>,</w:t>
      </w:r>
      <w:r w:rsidR="00C93F00" w:rsidRPr="00D6656C">
        <w:rPr>
          <w:rStyle w:val="normaltextrun"/>
          <w:rFonts w:ascii="Calibri" w:hAnsi="Calibri" w:cs="Calibri"/>
          <w:sz w:val="24"/>
          <w:szCs w:val="24"/>
          <w:lang w:eastAsia="cs-CZ"/>
        </w:rPr>
        <w:t xml:space="preserve"> a to včetně historie</w:t>
      </w:r>
      <w:r w:rsidR="00FB2049" w:rsidRPr="00D6656C">
        <w:rPr>
          <w:rStyle w:val="normaltextrun"/>
          <w:rFonts w:ascii="Calibri" w:hAnsi="Calibri" w:cs="Calibri"/>
          <w:sz w:val="24"/>
          <w:szCs w:val="24"/>
          <w:lang w:eastAsia="cs-CZ"/>
        </w:rPr>
        <w:t>.</w:t>
      </w:r>
    </w:p>
    <w:p w14:paraId="3637D0AC" w14:textId="1EC77911" w:rsidR="004D5CE2" w:rsidRDefault="004D5CE2" w:rsidP="00C93F00">
      <w:pPr>
        <w:pStyle w:val="paragraph"/>
        <w:jc w:val="both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Pro účely sledování proočkovanosti jsou nutné následující údaje:</w:t>
      </w:r>
    </w:p>
    <w:p w14:paraId="4A1333F2" w14:textId="6A755BA7" w:rsidR="004D5CE2" w:rsidRDefault="004D5CE2" w:rsidP="004D5CE2">
      <w:pPr>
        <w:pStyle w:val="paragraph"/>
        <w:numPr>
          <w:ilvl w:val="0"/>
          <w:numId w:val="28"/>
        </w:numPr>
        <w:jc w:val="both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Věk, pohlaví, bydliště </w:t>
      </w:r>
      <w:r w:rsidR="00E21414">
        <w:rPr>
          <w:rStyle w:val="normaltextrun"/>
          <w:rFonts w:ascii="Calibri" w:hAnsi="Calibri" w:cs="Calibri"/>
        </w:rPr>
        <w:t>a indika</w:t>
      </w:r>
      <w:r w:rsidR="00C34C97">
        <w:rPr>
          <w:rStyle w:val="normaltextrun"/>
          <w:rFonts w:ascii="Calibri" w:hAnsi="Calibri" w:cs="Calibri"/>
        </w:rPr>
        <w:t>ční skupina dle Strategie očkování</w:t>
      </w:r>
      <w:r w:rsidR="00E21414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očkované osoby.</w:t>
      </w:r>
    </w:p>
    <w:p w14:paraId="4A391E1D" w14:textId="4FE69EB2" w:rsidR="004D5CE2" w:rsidRPr="004D5CE2" w:rsidRDefault="004D5CE2" w:rsidP="004D5CE2">
      <w:pPr>
        <w:pStyle w:val="paragraph"/>
        <w:numPr>
          <w:ilvl w:val="0"/>
          <w:numId w:val="28"/>
        </w:numPr>
        <w:jc w:val="both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lastRenderedPageBreak/>
        <w:t>Místo očkování, datum očkování, použitá vakcína (název, číslo šarže), dávka vakcíny (první nebo následná dávka).</w:t>
      </w:r>
    </w:p>
    <w:p w14:paraId="0F964F40" w14:textId="69F61A78" w:rsidR="00C93F00" w:rsidRPr="00D6656C" w:rsidRDefault="00E21414" w:rsidP="00D6656C">
      <w:pPr>
        <w:spacing w:after="120" w:line="320" w:lineRule="exact"/>
        <w:jc w:val="both"/>
        <w:rPr>
          <w:rStyle w:val="normaltextrun"/>
          <w:rFonts w:ascii="Calibri" w:hAnsi="Calibri" w:cs="Calibri"/>
          <w:sz w:val="24"/>
          <w:szCs w:val="24"/>
          <w:lang w:eastAsia="cs-CZ"/>
        </w:rPr>
      </w:pPr>
      <w:r w:rsidRPr="00D6656C">
        <w:rPr>
          <w:rStyle w:val="normaltextrun"/>
          <w:rFonts w:ascii="Calibri" w:hAnsi="Calibri" w:cs="Calibri"/>
          <w:sz w:val="24"/>
          <w:szCs w:val="24"/>
          <w:lang w:eastAsia="cs-CZ"/>
        </w:rPr>
        <w:t>Očkovací centra musí tyto údaje předávat do centrálního registru</w:t>
      </w:r>
      <w:r w:rsidR="00887EA6" w:rsidRPr="00D6656C">
        <w:rPr>
          <w:rStyle w:val="normaltextrun"/>
          <w:rFonts w:ascii="Calibri" w:hAnsi="Calibri" w:cs="Calibri"/>
          <w:sz w:val="24"/>
          <w:szCs w:val="24"/>
          <w:lang w:eastAsia="cs-CZ"/>
        </w:rPr>
        <w:t xml:space="preserve">, a to </w:t>
      </w:r>
      <w:r w:rsidRPr="00D6656C">
        <w:rPr>
          <w:rStyle w:val="normaltextrun"/>
          <w:rFonts w:ascii="Calibri" w:hAnsi="Calibri" w:cs="Calibri"/>
          <w:sz w:val="24"/>
          <w:szCs w:val="24"/>
          <w:lang w:eastAsia="cs-CZ"/>
        </w:rPr>
        <w:t xml:space="preserve">pokud možno v reálném čase. Součástí řešení by mělo být i technické B2B rozhraní a webové služby (dostupné poskytovateli zdravotních služeb na základě certifikátu MZ ČR), jehož realizace bude zahájena až po spuštění aplikace v prostředí </w:t>
      </w:r>
      <w:r w:rsidR="00A778B1" w:rsidRPr="00D6656C">
        <w:rPr>
          <w:rStyle w:val="normaltextrun"/>
          <w:rFonts w:ascii="Calibri" w:hAnsi="Calibri" w:cs="Calibri"/>
          <w:sz w:val="24"/>
          <w:szCs w:val="24"/>
          <w:lang w:eastAsia="cs-CZ"/>
        </w:rPr>
        <w:t xml:space="preserve">resortních </w:t>
      </w:r>
      <w:r w:rsidRPr="00D6656C">
        <w:rPr>
          <w:rStyle w:val="normaltextrun"/>
          <w:rFonts w:ascii="Calibri" w:hAnsi="Calibri" w:cs="Calibri"/>
          <w:sz w:val="24"/>
          <w:szCs w:val="24"/>
          <w:lang w:eastAsia="cs-CZ"/>
        </w:rPr>
        <w:t>registrů</w:t>
      </w:r>
      <w:r w:rsidR="00C93F00" w:rsidRPr="00D6656C">
        <w:rPr>
          <w:rStyle w:val="normaltextrun"/>
          <w:rFonts w:ascii="Calibri" w:hAnsi="Calibri" w:cs="Calibri"/>
          <w:sz w:val="24"/>
          <w:szCs w:val="24"/>
          <w:lang w:eastAsia="cs-CZ"/>
        </w:rPr>
        <w:t xml:space="preserve">. Do systému ISIN bude údaje o očkování povinen zapisovat každý poskytovatel zdravotních služeb, který očkování provedl. </w:t>
      </w:r>
      <w:r w:rsidRPr="00D6656C">
        <w:rPr>
          <w:rStyle w:val="normaltextrun"/>
          <w:rFonts w:ascii="Calibri" w:hAnsi="Calibri" w:cs="Calibri"/>
          <w:sz w:val="24"/>
          <w:szCs w:val="24"/>
          <w:lang w:eastAsia="cs-CZ"/>
        </w:rPr>
        <w:t>Bude nezbytné tuto povinnost</w:t>
      </w:r>
      <w:r w:rsidR="00A778B1" w:rsidRPr="00D6656C">
        <w:rPr>
          <w:rStyle w:val="normaltextrun"/>
          <w:rFonts w:ascii="Calibri" w:hAnsi="Calibri" w:cs="Calibri"/>
          <w:sz w:val="24"/>
          <w:szCs w:val="24"/>
          <w:lang w:eastAsia="cs-CZ"/>
        </w:rPr>
        <w:t xml:space="preserve"> uložit mimořádným opatřením ministra zdravotnictví, systémově potom dále ustanovit</w:t>
      </w:r>
      <w:r w:rsidRPr="00D6656C">
        <w:rPr>
          <w:rStyle w:val="normaltextrun"/>
          <w:rFonts w:ascii="Calibri" w:hAnsi="Calibri" w:cs="Calibri"/>
          <w:sz w:val="24"/>
          <w:szCs w:val="24"/>
          <w:lang w:eastAsia="cs-CZ"/>
        </w:rPr>
        <w:t xml:space="preserve"> </w:t>
      </w:r>
      <w:r w:rsidR="00D729D0" w:rsidRPr="00D6656C">
        <w:rPr>
          <w:rStyle w:val="normaltextrun"/>
          <w:rFonts w:ascii="Calibri" w:hAnsi="Calibri" w:cs="Calibri"/>
          <w:sz w:val="24"/>
          <w:szCs w:val="24"/>
          <w:lang w:eastAsia="cs-CZ"/>
        </w:rPr>
        <w:t>novelou zákona</w:t>
      </w:r>
      <w:r w:rsidRPr="00D6656C">
        <w:rPr>
          <w:rStyle w:val="normaltextrun"/>
          <w:rFonts w:ascii="Calibri" w:hAnsi="Calibri" w:cs="Calibri"/>
          <w:sz w:val="24"/>
          <w:szCs w:val="24"/>
          <w:lang w:eastAsia="cs-CZ"/>
        </w:rPr>
        <w:t xml:space="preserve">. </w:t>
      </w:r>
      <w:r w:rsidRPr="00D6656C">
        <w:rPr>
          <w:rStyle w:val="normaltextrun"/>
          <w:rFonts w:cs="Calibri"/>
          <w:sz w:val="24"/>
          <w:szCs w:val="24"/>
          <w:lang w:eastAsia="cs-CZ"/>
        </w:rPr>
        <w:t xml:space="preserve">Každému z oprávněných subjektů </w:t>
      </w:r>
      <w:r w:rsidR="006E1237" w:rsidRPr="00D6656C">
        <w:rPr>
          <w:rStyle w:val="normaltextrun"/>
          <w:rFonts w:cs="Calibri"/>
          <w:sz w:val="24"/>
          <w:szCs w:val="24"/>
          <w:lang w:eastAsia="cs-CZ"/>
        </w:rPr>
        <w:t xml:space="preserve">tedy bude umožněno provést </w:t>
      </w:r>
      <w:r w:rsidRPr="00D6656C">
        <w:rPr>
          <w:rStyle w:val="normaltextrun"/>
          <w:rFonts w:cs="Calibri"/>
          <w:sz w:val="24"/>
          <w:szCs w:val="24"/>
          <w:lang w:eastAsia="cs-CZ"/>
        </w:rPr>
        <w:t xml:space="preserve">kontrolu očkovaných osob, tak aby mohl objektivně zjistit, kde a kdy byla aplikovaná první nebo druhá dávka a která vakcína byla použita, </w:t>
      </w:r>
      <w:r w:rsidR="006E1237" w:rsidRPr="00D6656C">
        <w:rPr>
          <w:rStyle w:val="normaltextrun"/>
          <w:rFonts w:cs="Calibri"/>
          <w:sz w:val="24"/>
          <w:szCs w:val="24"/>
          <w:lang w:eastAsia="cs-CZ"/>
        </w:rPr>
        <w:t xml:space="preserve">například v případě, že první dávku aplikoval jiný poskytovatel zdravotní péče než druhou dávku. Tím bude zajištěna kontrola a dodržení intervalů očkovacího schématu a použití stejné vakcíny pro první i druhou dávku. </w:t>
      </w:r>
      <w:r w:rsidR="00402BBF" w:rsidRPr="00D6656C">
        <w:rPr>
          <w:rStyle w:val="normaltextrun"/>
          <w:rFonts w:cs="Calibri"/>
          <w:sz w:val="24"/>
          <w:szCs w:val="24"/>
          <w:lang w:eastAsia="cs-CZ"/>
        </w:rPr>
        <w:t xml:space="preserve">Oprávněné subjekty budou </w:t>
      </w:r>
      <w:r w:rsidR="00482E27" w:rsidRPr="00D6656C">
        <w:rPr>
          <w:rStyle w:val="normaltextrun"/>
          <w:rFonts w:cs="Calibri"/>
          <w:sz w:val="24"/>
          <w:szCs w:val="24"/>
          <w:lang w:eastAsia="cs-CZ"/>
        </w:rPr>
        <w:t xml:space="preserve">mít možnost </w:t>
      </w:r>
      <w:r w:rsidR="00402BBF" w:rsidRPr="00D6656C">
        <w:rPr>
          <w:rStyle w:val="normaltextrun"/>
          <w:rFonts w:cs="Calibri"/>
          <w:sz w:val="24"/>
          <w:szCs w:val="24"/>
          <w:lang w:eastAsia="cs-CZ"/>
        </w:rPr>
        <w:t>z</w:t>
      </w:r>
      <w:r w:rsidR="006E1237" w:rsidRPr="00D6656C">
        <w:rPr>
          <w:rStyle w:val="normaltextrun"/>
          <w:rFonts w:cs="Calibri"/>
          <w:sz w:val="24"/>
          <w:szCs w:val="24"/>
          <w:lang w:eastAsia="cs-CZ"/>
        </w:rPr>
        <w:t xml:space="preserve">e </w:t>
      </w:r>
      <w:r w:rsidRPr="00D6656C">
        <w:rPr>
          <w:rStyle w:val="normaltextrun"/>
          <w:rFonts w:cs="Calibri"/>
          <w:sz w:val="24"/>
          <w:szCs w:val="24"/>
          <w:lang w:eastAsia="cs-CZ"/>
        </w:rPr>
        <w:t>systému ISIN získávat přehledy o proočkovanosti populace, množství aplikovaných dávek vakcíny konkrétního výrobce a zároveň vyhodnocovat účinnost očkování. Účinnost očkování bude možné analyzovat na základě spárování údajů o očkování daného jedince a případného výskytu onemocnění COVID-19 před nebo po očkování</w:t>
      </w:r>
      <w:r w:rsidR="00482E27" w:rsidRPr="00D6656C">
        <w:rPr>
          <w:rStyle w:val="normaltextrun"/>
          <w:rFonts w:cs="Calibri"/>
          <w:sz w:val="24"/>
          <w:szCs w:val="24"/>
          <w:lang w:eastAsia="cs-CZ"/>
        </w:rPr>
        <w:t>.</w:t>
      </w:r>
    </w:p>
    <w:p w14:paraId="53296CC6" w14:textId="216263C2" w:rsidR="00FF7123" w:rsidRPr="00D6656C" w:rsidRDefault="00E21414" w:rsidP="00D6656C">
      <w:pPr>
        <w:spacing w:after="120" w:line="320" w:lineRule="exact"/>
        <w:jc w:val="both"/>
        <w:rPr>
          <w:rStyle w:val="normaltextrun"/>
          <w:rFonts w:ascii="Calibri" w:hAnsi="Calibri" w:cs="Calibri"/>
          <w:sz w:val="24"/>
          <w:szCs w:val="24"/>
          <w:lang w:eastAsia="cs-CZ"/>
        </w:rPr>
      </w:pPr>
      <w:r w:rsidRPr="00D6656C">
        <w:rPr>
          <w:rStyle w:val="normaltextrun"/>
          <w:rFonts w:ascii="Calibri" w:hAnsi="Calibri" w:cs="Calibri"/>
          <w:sz w:val="24"/>
          <w:szCs w:val="24"/>
          <w:lang w:eastAsia="cs-CZ"/>
        </w:rPr>
        <w:t xml:space="preserve">Validní </w:t>
      </w:r>
      <w:r w:rsidR="000221CB" w:rsidRPr="00D6656C">
        <w:rPr>
          <w:rStyle w:val="normaltextrun"/>
          <w:rFonts w:ascii="Calibri" w:hAnsi="Calibri" w:cs="Calibri"/>
          <w:sz w:val="24"/>
          <w:szCs w:val="24"/>
          <w:lang w:eastAsia="cs-CZ"/>
        </w:rPr>
        <w:t xml:space="preserve">anonymizovaná </w:t>
      </w:r>
      <w:r w:rsidRPr="00D6656C">
        <w:rPr>
          <w:rStyle w:val="normaltextrun"/>
          <w:rFonts w:ascii="Calibri" w:hAnsi="Calibri" w:cs="Calibri"/>
          <w:sz w:val="24"/>
          <w:szCs w:val="24"/>
          <w:lang w:eastAsia="cs-CZ"/>
        </w:rPr>
        <w:t xml:space="preserve">data o využití vakcíny a proočkovanosti </w:t>
      </w:r>
      <w:r w:rsidR="00DA1268" w:rsidRPr="00D6656C">
        <w:rPr>
          <w:rStyle w:val="normaltextrun"/>
          <w:rFonts w:ascii="Calibri" w:hAnsi="Calibri" w:cs="Calibri"/>
          <w:sz w:val="24"/>
          <w:szCs w:val="24"/>
          <w:lang w:eastAsia="cs-CZ"/>
        </w:rPr>
        <w:t>jsou podkladem pro</w:t>
      </w:r>
      <w:r w:rsidR="00402BBF" w:rsidRPr="00D6656C">
        <w:rPr>
          <w:rStyle w:val="normaltextrun"/>
          <w:rFonts w:ascii="Calibri" w:hAnsi="Calibri" w:cs="Calibri"/>
          <w:sz w:val="24"/>
          <w:szCs w:val="24"/>
          <w:lang w:eastAsia="cs-CZ"/>
        </w:rPr>
        <w:t xml:space="preserve"> ministerstvo zdravotnictví k analýze</w:t>
      </w:r>
      <w:r w:rsidR="00DA1268" w:rsidRPr="00D6656C">
        <w:rPr>
          <w:rStyle w:val="normaltextrun"/>
          <w:rFonts w:ascii="Calibri" w:hAnsi="Calibri" w:cs="Calibri"/>
          <w:sz w:val="24"/>
          <w:szCs w:val="24"/>
          <w:lang w:eastAsia="cs-CZ"/>
        </w:rPr>
        <w:t xml:space="preserve"> strategie očkování, pro analýzu vztahu k očkování a chování veřejnosti</w:t>
      </w:r>
      <w:r w:rsidR="00482E27" w:rsidRPr="00D6656C">
        <w:rPr>
          <w:rStyle w:val="normaltextrun"/>
          <w:rFonts w:ascii="Calibri" w:hAnsi="Calibri" w:cs="Calibri"/>
          <w:sz w:val="24"/>
          <w:szCs w:val="24"/>
          <w:lang w:eastAsia="cs-CZ"/>
        </w:rPr>
        <w:t>, a to na základě zákona č. 258/2000 Sb., o ochraně veřejného zdraví</w:t>
      </w:r>
      <w:r w:rsidR="00630C2B" w:rsidRPr="00D6656C">
        <w:rPr>
          <w:rStyle w:val="normaltextrun"/>
          <w:rFonts w:ascii="Calibri" w:hAnsi="Calibri" w:cs="Calibri"/>
          <w:sz w:val="24"/>
          <w:szCs w:val="24"/>
          <w:lang w:eastAsia="cs-CZ"/>
        </w:rPr>
        <w:t xml:space="preserve"> Informace o proočkovanosti jednotlivých věkových, rizikových </w:t>
      </w:r>
      <w:r w:rsidR="00B44D19" w:rsidRPr="00D6656C">
        <w:rPr>
          <w:rStyle w:val="normaltextrun"/>
          <w:rFonts w:ascii="Calibri" w:hAnsi="Calibri" w:cs="Calibri"/>
          <w:sz w:val="24"/>
          <w:szCs w:val="24"/>
          <w:lang w:eastAsia="cs-CZ"/>
        </w:rPr>
        <w:t xml:space="preserve">nebo specifických cílových skupin umožní upravovat informační kampaně v případě, že se zjistí nízká proočkovanost specifické cílové skupiny nebo velké regionální rozdíly. </w:t>
      </w:r>
      <w:r w:rsidR="00762E4F" w:rsidRPr="00D6656C">
        <w:rPr>
          <w:rStyle w:val="normaltextrun"/>
          <w:rFonts w:ascii="Calibri" w:hAnsi="Calibri" w:cs="Calibri"/>
          <w:sz w:val="24"/>
          <w:szCs w:val="24"/>
          <w:lang w:eastAsia="cs-CZ"/>
        </w:rPr>
        <w:t xml:space="preserve">V krátkém čase bude možné odhadnout účinnost očkování srovnáním podílu očkovaných osob mezi případy onemocnění COVID-19 (průlomové infekce) s podílem očkovaných osob v celé populaci. </w:t>
      </w:r>
      <w:r w:rsidR="00B44D19" w:rsidRPr="00D6656C">
        <w:rPr>
          <w:rStyle w:val="normaltextrun"/>
          <w:rFonts w:ascii="Calibri" w:hAnsi="Calibri" w:cs="Calibri"/>
          <w:sz w:val="24"/>
          <w:szCs w:val="24"/>
          <w:lang w:eastAsia="cs-CZ"/>
        </w:rPr>
        <w:t xml:space="preserve">Data jsou nezbytná také pro posuzování efektivity a bezpečnosti očkování a vzájemného srovnání s ostatními členskými státy EU.  </w:t>
      </w:r>
    </w:p>
    <w:p w14:paraId="146B0512" w14:textId="37169FA3" w:rsidR="00C93F00" w:rsidRPr="00D6656C" w:rsidRDefault="00C93F00" w:rsidP="00D6656C">
      <w:pPr>
        <w:spacing w:after="120" w:line="320" w:lineRule="exact"/>
        <w:jc w:val="both"/>
        <w:rPr>
          <w:rStyle w:val="normaltextrun"/>
          <w:rFonts w:ascii="Calibri" w:hAnsi="Calibri" w:cs="Calibri"/>
          <w:sz w:val="24"/>
          <w:szCs w:val="24"/>
          <w:lang w:eastAsia="cs-CZ"/>
        </w:rPr>
      </w:pPr>
      <w:r w:rsidRPr="00D6656C">
        <w:rPr>
          <w:rStyle w:val="normaltextrun"/>
          <w:rFonts w:ascii="Calibri" w:hAnsi="Calibri" w:cs="Calibri"/>
          <w:sz w:val="24"/>
          <w:szCs w:val="24"/>
          <w:lang w:eastAsia="cs-CZ"/>
        </w:rPr>
        <w:t xml:space="preserve">Sledování nežádoucích účinků vakcinace proti onemocnění </w:t>
      </w:r>
      <w:r w:rsidR="00343E21" w:rsidRPr="00D6656C">
        <w:rPr>
          <w:rStyle w:val="normaltextrun"/>
          <w:rFonts w:ascii="Calibri" w:hAnsi="Calibri" w:cs="Calibri"/>
          <w:sz w:val="24"/>
          <w:szCs w:val="24"/>
          <w:lang w:eastAsia="cs-CZ"/>
        </w:rPr>
        <w:t>COVID</w:t>
      </w:r>
      <w:r w:rsidRPr="00D6656C">
        <w:rPr>
          <w:rStyle w:val="normaltextrun"/>
          <w:rFonts w:ascii="Calibri" w:hAnsi="Calibri" w:cs="Calibri"/>
          <w:sz w:val="24"/>
          <w:szCs w:val="24"/>
          <w:lang w:eastAsia="cs-CZ"/>
        </w:rPr>
        <w:t>-19 bude probíhat standardní cestou na SÚKL. SÚKL je třeba hlásit jakékoli podezření na závažný nebo neočekávaný nežádoucí účinek a jiné skutečnosti závažné pro zdraví léčených osob.</w:t>
      </w:r>
    </w:p>
    <w:p w14:paraId="68AE4D91" w14:textId="77777777" w:rsidR="00C93F00" w:rsidRPr="00D6656C" w:rsidRDefault="00C93F00" w:rsidP="00D6656C">
      <w:pPr>
        <w:spacing w:after="120" w:line="320" w:lineRule="exact"/>
        <w:jc w:val="both"/>
        <w:rPr>
          <w:rStyle w:val="normaltextrun"/>
          <w:rFonts w:ascii="Calibri" w:hAnsi="Calibri" w:cs="Calibri"/>
          <w:sz w:val="24"/>
          <w:szCs w:val="24"/>
          <w:lang w:eastAsia="cs-CZ"/>
        </w:rPr>
      </w:pPr>
      <w:r w:rsidRPr="00D6656C">
        <w:rPr>
          <w:rStyle w:val="normaltextrun"/>
          <w:rFonts w:ascii="Calibri" w:hAnsi="Calibri" w:cs="Calibri"/>
          <w:sz w:val="24"/>
          <w:szCs w:val="24"/>
          <w:lang w:eastAsia="cs-CZ"/>
        </w:rPr>
        <w:t>Hlášení je možné zasílat pomocí tištěného nebo elektronického formuláře dostupného na webových stránkách SÚKL, vše potřebné pro hlášení je k dispozici na: http://www.sukl.cz/nahlasit-nezadouci-ucinek.</w:t>
      </w:r>
    </w:p>
    <w:p w14:paraId="01E29F34" w14:textId="77777777" w:rsidR="00C93F00" w:rsidRPr="00AF667A" w:rsidRDefault="00C93F00" w:rsidP="00C93F00">
      <w:pPr>
        <w:pStyle w:val="paragraph"/>
        <w:spacing w:before="0" w:beforeAutospacing="0" w:after="0" w:afterAutospacing="0"/>
        <w:jc w:val="both"/>
        <w:textAlignment w:val="baseline"/>
        <w:rPr>
          <w:rStyle w:val="Hypertextovodkaz"/>
          <w:rFonts w:ascii="Calibri" w:hAnsi="Calibri" w:cs="Calibri"/>
        </w:rPr>
      </w:pPr>
      <w:r w:rsidRPr="00AF667A">
        <w:rPr>
          <w:rStyle w:val="normaltextrun"/>
          <w:rFonts w:ascii="Calibri" w:hAnsi="Calibri" w:cs="Calibri"/>
        </w:rPr>
        <w:t xml:space="preserve">Adresa pro zasílání je Státní ústav pro kontrolu léčiv, oddělení farmakovigilance, Šrobárova 48, Praha 10, 100 41, email: </w:t>
      </w:r>
      <w:hyperlink r:id="rId19" w:history="1">
        <w:r w:rsidRPr="00AF667A">
          <w:rPr>
            <w:rStyle w:val="Hypertextovodkaz"/>
            <w:rFonts w:ascii="Calibri" w:hAnsi="Calibri" w:cs="Calibri"/>
          </w:rPr>
          <w:t>farmakovigilance@sukl.cz</w:t>
        </w:r>
      </w:hyperlink>
    </w:p>
    <w:p w14:paraId="51F42800" w14:textId="677C9915" w:rsidR="001E422B" w:rsidRDefault="001E422B">
      <w:pPr>
        <w:rPr>
          <w:rStyle w:val="normaltextrun"/>
          <w:rFonts w:ascii="Calibri" w:hAnsi="Calibri" w:cs="Calibri"/>
          <w:sz w:val="24"/>
          <w:szCs w:val="24"/>
          <w:lang w:eastAsia="cs-CZ"/>
        </w:rPr>
      </w:pPr>
      <w:r>
        <w:rPr>
          <w:rStyle w:val="normaltextrun"/>
          <w:rFonts w:ascii="Calibri" w:hAnsi="Calibri" w:cs="Calibri"/>
        </w:rPr>
        <w:br w:type="page"/>
      </w:r>
    </w:p>
    <w:p w14:paraId="32099811" w14:textId="77777777" w:rsidR="00BF118F" w:rsidRPr="00AF667A" w:rsidRDefault="00BF118F" w:rsidP="00C93F0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</w:rPr>
      </w:pPr>
    </w:p>
    <w:p w14:paraId="3C4F2609" w14:textId="6A6C32DF" w:rsidR="00C93F00" w:rsidRPr="00FA2A14" w:rsidRDefault="00897DCE" w:rsidP="00FA2A14">
      <w:pPr>
        <w:pStyle w:val="Nadpis1"/>
      </w:pPr>
      <w:bookmarkStart w:id="15" w:name="_Toc58138525"/>
      <w:r>
        <w:rPr>
          <w:caps w:val="0"/>
        </w:rPr>
        <w:t>13</w:t>
      </w:r>
      <w:r w:rsidR="00FA2A14" w:rsidRPr="00FA2A14">
        <w:rPr>
          <w:caps w:val="0"/>
        </w:rPr>
        <w:t>.</w:t>
      </w:r>
      <w:r w:rsidR="005D597E">
        <w:rPr>
          <w:caps w:val="0"/>
        </w:rPr>
        <w:t xml:space="preserve"> </w:t>
      </w:r>
      <w:r w:rsidR="00FA2A14" w:rsidRPr="00FA2A14">
        <w:rPr>
          <w:caps w:val="0"/>
        </w:rPr>
        <w:t>KOMUNIKACE</w:t>
      </w:r>
      <w:bookmarkEnd w:id="15"/>
    </w:p>
    <w:p w14:paraId="15C52197" w14:textId="77777777" w:rsidR="00EE3361" w:rsidRDefault="00EE3361" w:rsidP="00C93F0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</w:rPr>
      </w:pPr>
    </w:p>
    <w:p w14:paraId="4372F6D8" w14:textId="41F93161" w:rsidR="00C93F00" w:rsidRDefault="00C93F00" w:rsidP="00C93F0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  <w:r w:rsidRPr="00AF667A">
        <w:rPr>
          <w:rStyle w:val="normaltextrun"/>
          <w:rFonts w:ascii="Calibri" w:hAnsi="Calibri" w:cs="Calibri"/>
        </w:rPr>
        <w:t xml:space="preserve">Zásadní součástí strategie očkování proti onemocnění </w:t>
      </w:r>
      <w:r w:rsidR="00343E21" w:rsidRPr="00E62A3D">
        <w:rPr>
          <w:rStyle w:val="normaltextrun"/>
          <w:rFonts w:ascii="Calibri" w:hAnsi="Calibri" w:cs="Calibri"/>
        </w:rPr>
        <w:t>COVID</w:t>
      </w:r>
      <w:r w:rsidRPr="00E62A3D">
        <w:rPr>
          <w:rStyle w:val="normaltextrun"/>
          <w:rFonts w:ascii="Calibri" w:hAnsi="Calibri" w:cs="Calibri"/>
        </w:rPr>
        <w:t xml:space="preserve">-19 je </w:t>
      </w:r>
      <w:r w:rsidR="00ED780B">
        <w:rPr>
          <w:rStyle w:val="normaltextrun"/>
          <w:rFonts w:ascii="Calibri" w:hAnsi="Calibri" w:cs="Calibri"/>
        </w:rPr>
        <w:t xml:space="preserve">proaktivní </w:t>
      </w:r>
      <w:r w:rsidRPr="00E62A3D">
        <w:rPr>
          <w:rStyle w:val="normaltextrun"/>
          <w:rFonts w:ascii="Calibri" w:hAnsi="Calibri" w:cs="Calibri"/>
        </w:rPr>
        <w:t xml:space="preserve">komunikační kampaň MZ, která </w:t>
      </w:r>
      <w:r w:rsidR="00E21414" w:rsidRPr="00E62A3D">
        <w:rPr>
          <w:rStyle w:val="normaltextrun"/>
          <w:rFonts w:ascii="Calibri" w:hAnsi="Calibri" w:cs="Calibri"/>
        </w:rPr>
        <w:t>bude informovat o benefitech očkování proti COVID-19</w:t>
      </w:r>
      <w:r w:rsidRPr="00E62A3D">
        <w:rPr>
          <w:rStyle w:val="normaltextrun"/>
          <w:rFonts w:ascii="Calibri" w:hAnsi="Calibri" w:cs="Calibri"/>
        </w:rPr>
        <w:t>, o složení a bezpečnosti vakcín a významu kolektivní imunity a vysoké proočkovanosti rizikových</w:t>
      </w:r>
      <w:r w:rsidRPr="00AF667A">
        <w:rPr>
          <w:rStyle w:val="normaltextrun"/>
          <w:rFonts w:ascii="Calibri" w:hAnsi="Calibri" w:cs="Calibri"/>
        </w:rPr>
        <w:t xml:space="preserve"> skupin a populace. Součástí komunikační kampaně bude vysvětlení proč a kdo spadá do prioritních skupin, která očkovací látka se bude používat u kterých skupin obyvatel a proč. Komunikační kampaň bude vedena s využitím klasických, ale zejména také všech moderních komunikačních nástrojů.</w:t>
      </w:r>
      <w:r w:rsidRPr="00AF667A">
        <w:rPr>
          <w:rStyle w:val="eop"/>
          <w:rFonts w:ascii="Calibri" w:hAnsi="Calibri" w:cs="Calibri"/>
        </w:rPr>
        <w:t> </w:t>
      </w:r>
      <w:r w:rsidR="00ED780B">
        <w:rPr>
          <w:rStyle w:val="eop"/>
          <w:rFonts w:ascii="Calibri" w:hAnsi="Calibri" w:cs="Calibri"/>
        </w:rPr>
        <w:t>Informační kampaň musí probíhat transparentně, proaktivně a musí být cílená nejprve na specifické skupiny veřejnosti, profesní skupiny a celopopulačně.</w:t>
      </w:r>
    </w:p>
    <w:p w14:paraId="19044EE8" w14:textId="2D958793" w:rsidR="00F468E9" w:rsidRPr="000221CB" w:rsidRDefault="000221CB" w:rsidP="00C93F0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cs="Calibri"/>
        </w:rPr>
      </w:pPr>
      <w:r w:rsidRPr="000221CB">
        <w:rPr>
          <w:rStyle w:val="normaltextrun"/>
          <w:rFonts w:ascii="Calibri" w:hAnsi="Calibri" w:cs="Calibri"/>
        </w:rPr>
        <w:t>K relevantnímu cílení komunikační kampaně budou využity výstupy sociologických šetření veřejného mínění ke znalosti postojů a chování ve vztahu k očkování proti COVID-19.</w:t>
      </w:r>
    </w:p>
    <w:p w14:paraId="36F945AF" w14:textId="77777777" w:rsidR="00BF118F" w:rsidRPr="000221CB" w:rsidRDefault="00BF118F" w:rsidP="00C93F0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cs="Calibri"/>
        </w:rPr>
      </w:pPr>
    </w:p>
    <w:p w14:paraId="0F276CD7" w14:textId="21654216" w:rsidR="00C93F00" w:rsidRPr="00FA2A14" w:rsidRDefault="00897DCE" w:rsidP="00FA2A14">
      <w:pPr>
        <w:pStyle w:val="Nadpis1"/>
      </w:pPr>
      <w:bookmarkStart w:id="16" w:name="_Toc58138526"/>
      <w:r>
        <w:rPr>
          <w:rStyle w:val="eop"/>
          <w:caps w:val="0"/>
        </w:rPr>
        <w:t>14</w:t>
      </w:r>
      <w:r w:rsidR="00FA2A14" w:rsidRPr="00FA2A14">
        <w:rPr>
          <w:rStyle w:val="eop"/>
          <w:caps w:val="0"/>
        </w:rPr>
        <w:t>.</w:t>
      </w:r>
      <w:r w:rsidR="005D597E">
        <w:rPr>
          <w:rStyle w:val="eop"/>
          <w:caps w:val="0"/>
        </w:rPr>
        <w:t xml:space="preserve"> </w:t>
      </w:r>
      <w:r w:rsidR="00FA2A14" w:rsidRPr="00FA2A14">
        <w:rPr>
          <w:rStyle w:val="eop"/>
          <w:caps w:val="0"/>
        </w:rPr>
        <w:t>OČKOVÁNÍ PROTI CHŘIPCE A PNEUMOKOKOVÝM ONEMOCNĚNÍM</w:t>
      </w:r>
      <w:bookmarkEnd w:id="16"/>
      <w:r w:rsidR="00FA2A14" w:rsidRPr="00FA2A14">
        <w:rPr>
          <w:rStyle w:val="eop"/>
          <w:caps w:val="0"/>
        </w:rPr>
        <w:t> </w:t>
      </w:r>
    </w:p>
    <w:p w14:paraId="032CE61E" w14:textId="77777777" w:rsidR="00EE3361" w:rsidRDefault="00EE3361" w:rsidP="00C93F0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hd w:val="clear" w:color="auto" w:fill="FFFFFF"/>
        </w:rPr>
      </w:pPr>
    </w:p>
    <w:p w14:paraId="7687355D" w14:textId="334BEF6D" w:rsidR="00C93F00" w:rsidRPr="00E62A3D" w:rsidRDefault="00C93F00" w:rsidP="00C93F00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Segoe UI"/>
        </w:rPr>
      </w:pPr>
      <w:r w:rsidRPr="00AF667A">
        <w:rPr>
          <w:rStyle w:val="normaltextrun"/>
          <w:rFonts w:ascii="Calibri" w:hAnsi="Calibri" w:cs="Calibri"/>
          <w:color w:val="000000"/>
          <w:shd w:val="clear" w:color="auto" w:fill="FFFFFF"/>
        </w:rPr>
        <w:t>Chřipka v České republice každoročně ohrožuje zdraví statisíců pacientů a vyžádá si život téměř dvou tisíc z nich. V roce 2020 byly dopady chřipkové epidemie do určité míry zastíněny šířením nového </w:t>
      </w:r>
      <w:r w:rsidRPr="00AF667A">
        <w:rPr>
          <w:rStyle w:val="spellingerror"/>
          <w:rFonts w:ascii="Calibri" w:hAnsi="Calibri" w:cs="Calibri"/>
          <w:color w:val="000000"/>
          <w:shd w:val="clear" w:color="auto" w:fill="FFFFFF"/>
        </w:rPr>
        <w:t>koronaviru</w:t>
      </w:r>
      <w:r w:rsidRPr="00AF667A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 SARS-CoV-2. I přesto, že se u nás díky </w:t>
      </w:r>
      <w:r w:rsidRPr="00E62A3D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striktním opatřením podařilo udržet šíření relativně pod kontrolou, globální pandemie </w:t>
      </w:r>
      <w:r w:rsidR="00343E21" w:rsidRPr="00E62A3D">
        <w:rPr>
          <w:rStyle w:val="normaltextrun"/>
          <w:rFonts w:ascii="Calibri" w:hAnsi="Calibri" w:cs="Calibri"/>
        </w:rPr>
        <w:t>COVID</w:t>
      </w:r>
      <w:r w:rsidRPr="00E62A3D">
        <w:rPr>
          <w:rStyle w:val="normaltextrun"/>
          <w:rFonts w:ascii="Calibri" w:hAnsi="Calibri" w:cs="Calibri"/>
          <w:color w:val="000000"/>
          <w:shd w:val="clear" w:color="auto" w:fill="FFFFFF"/>
        </w:rPr>
        <w:t>-19 akcentovala fragilitu rizikových skupin, zejména seniorů a chronických pacientů, a zároveň poukázala na to, jak obrovskou ekonomickou zátěží by mohla být pro zdravotní systém i celou národní ekonomiku. Očkování proti chřipce, ale také proti pneumokokovým onemocněním, mohou zmírnit dopady nového </w:t>
      </w:r>
      <w:r w:rsidRPr="00E62A3D">
        <w:rPr>
          <w:rStyle w:val="spellingerror"/>
          <w:rFonts w:ascii="Calibri" w:hAnsi="Calibri" w:cs="Calibri"/>
          <w:color w:val="000000"/>
          <w:shd w:val="clear" w:color="auto" w:fill="FFFFFF"/>
        </w:rPr>
        <w:t>koronaviru</w:t>
      </w:r>
      <w:r w:rsidRPr="00E62A3D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 u zranitelné části populace. Koincidence chřipky nebo pneumokokového onemocnění a </w:t>
      </w:r>
      <w:r w:rsidR="00343E21" w:rsidRPr="00E62A3D">
        <w:rPr>
          <w:rStyle w:val="normaltextrun"/>
          <w:rFonts w:ascii="Calibri" w:hAnsi="Calibri" w:cs="Calibri"/>
        </w:rPr>
        <w:t>COVID</w:t>
      </w:r>
      <w:r w:rsidRPr="00E62A3D">
        <w:rPr>
          <w:rStyle w:val="normaltextrun"/>
          <w:rFonts w:ascii="Calibri" w:hAnsi="Calibri" w:cs="Calibri"/>
          <w:color w:val="000000"/>
          <w:shd w:val="clear" w:color="auto" w:fill="FFFFFF"/>
        </w:rPr>
        <w:t>-19 u jednoho pacienta může zvýšit riziko závažnějšího průběhu nemoci a výskytu komplikací. Zánětlivé onemocnění plic způsobené chřipkovým virem nebo pneumokokem může zvyšovat riziko vzniku </w:t>
      </w:r>
      <w:r w:rsidRPr="00E62A3D">
        <w:rPr>
          <w:rStyle w:val="spellingerror"/>
          <w:rFonts w:ascii="Calibri" w:hAnsi="Calibri" w:cs="Calibri"/>
          <w:color w:val="000000"/>
          <w:shd w:val="clear" w:color="auto" w:fill="FFFFFF"/>
        </w:rPr>
        <w:t>hyperimunitní</w:t>
      </w:r>
      <w:r w:rsidRPr="00E62A3D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 reakce (cytokinové bouře) v případě současného onemocnění virem SARS-CoV-2 a ve svém důsledku zhoršit průběh a prognózu onemocnění </w:t>
      </w:r>
      <w:r w:rsidR="00343E21" w:rsidRPr="00E62A3D">
        <w:rPr>
          <w:rStyle w:val="normaltextrun"/>
          <w:rFonts w:ascii="Calibri" w:hAnsi="Calibri" w:cs="Calibri"/>
        </w:rPr>
        <w:t>COVID</w:t>
      </w:r>
      <w:r w:rsidRPr="00E62A3D">
        <w:rPr>
          <w:rStyle w:val="normaltextrun"/>
          <w:rFonts w:ascii="Calibri" w:hAnsi="Calibri" w:cs="Calibri"/>
          <w:color w:val="000000"/>
          <w:shd w:val="clear" w:color="auto" w:fill="FFFFFF"/>
        </w:rPr>
        <w:t>-19.</w:t>
      </w:r>
      <w:r w:rsidRPr="00E62A3D">
        <w:rPr>
          <w:rStyle w:val="eop"/>
          <w:rFonts w:ascii="Calibri" w:hAnsi="Calibri" w:cs="Calibri"/>
          <w:color w:val="000000"/>
        </w:rPr>
        <w:t> </w:t>
      </w:r>
    </w:p>
    <w:p w14:paraId="3C173901" w14:textId="57A53382" w:rsidR="00C93F00" w:rsidRDefault="00C93F00" w:rsidP="00C93F0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/>
        </w:rPr>
      </w:pPr>
      <w:r w:rsidRPr="00E62A3D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Proto očkování proti chřipce a pneumokokovým onemocněním je součástí národní vakcinační strategie onemocnění </w:t>
      </w:r>
      <w:r w:rsidR="00343E21" w:rsidRPr="00E62A3D">
        <w:rPr>
          <w:rStyle w:val="normaltextrun"/>
          <w:rFonts w:ascii="Calibri" w:hAnsi="Calibri" w:cs="Calibri"/>
        </w:rPr>
        <w:t>COVID</w:t>
      </w:r>
      <w:r w:rsidRPr="00E62A3D">
        <w:rPr>
          <w:rStyle w:val="normaltextrun"/>
          <w:rFonts w:ascii="Calibri" w:hAnsi="Calibri" w:cs="Calibri"/>
          <w:color w:val="000000"/>
          <w:shd w:val="clear" w:color="auto" w:fill="FFFFFF"/>
        </w:rPr>
        <w:t>-19. Očkování je doporučeno zejména osobám s chronickým onemocněním plic (zahrnuje i středně závažné a závažné astma </w:t>
      </w:r>
      <w:r w:rsidRPr="00E62A3D">
        <w:rPr>
          <w:rStyle w:val="spellingerror"/>
          <w:rFonts w:ascii="Calibri" w:hAnsi="Calibri" w:cs="Calibri"/>
          <w:color w:val="000000"/>
          <w:shd w:val="clear" w:color="auto" w:fill="FFFFFF"/>
        </w:rPr>
        <w:t>bronchiale</w:t>
      </w:r>
      <w:r w:rsidRPr="00E62A3D">
        <w:rPr>
          <w:rStyle w:val="normaltextrun"/>
          <w:rFonts w:ascii="Calibri" w:hAnsi="Calibri" w:cs="Calibri"/>
          <w:color w:val="000000"/>
          <w:shd w:val="clear" w:color="auto" w:fill="FFFFFF"/>
        </w:rPr>
        <w:t>) s dlouhodobou systémovou farmakologickou léčbou; osoby s onemocněním srdce a/nebo velkých cév s dlouhodobou systémovou farmakologickou léčbou, např. hypertenze; osoby s chronickým onemocněním ledvin a jater; pacienty s farmakologicky léčeným diabetes </w:t>
      </w:r>
      <w:r w:rsidRPr="00E62A3D">
        <w:rPr>
          <w:rStyle w:val="spellingerror"/>
          <w:rFonts w:ascii="Calibri" w:hAnsi="Calibri" w:cs="Calibri"/>
          <w:color w:val="000000"/>
          <w:shd w:val="clear" w:color="auto" w:fill="FFFFFF"/>
        </w:rPr>
        <w:t>mellitus</w:t>
      </w:r>
      <w:r w:rsidRPr="00E62A3D">
        <w:rPr>
          <w:rStyle w:val="normaltextrun"/>
          <w:rFonts w:ascii="Calibri" w:hAnsi="Calibri" w:cs="Calibri"/>
          <w:color w:val="000000"/>
          <w:shd w:val="clear" w:color="auto" w:fill="FFFFFF"/>
        </w:rPr>
        <w:t>; pacienty s poruchou imunitního systému, např. pacienti s imunosupresivní léčbou (steroidy, infekce HIV apod.) a </w:t>
      </w:r>
      <w:r w:rsidRPr="00E62A3D">
        <w:rPr>
          <w:rStyle w:val="spellingerror"/>
          <w:rFonts w:ascii="Calibri" w:hAnsi="Calibri" w:cs="Calibri"/>
          <w:color w:val="000000"/>
          <w:shd w:val="clear" w:color="auto" w:fill="FFFFFF"/>
        </w:rPr>
        <w:t>asplenici</w:t>
      </w:r>
      <w:r w:rsidRPr="00E62A3D">
        <w:rPr>
          <w:rStyle w:val="normaltextrun"/>
          <w:rFonts w:ascii="Calibri" w:hAnsi="Calibri" w:cs="Calibri"/>
          <w:color w:val="000000"/>
          <w:shd w:val="clear" w:color="auto" w:fill="FFFFFF"/>
        </w:rPr>
        <w:t>/</w:t>
      </w:r>
      <w:r w:rsidRPr="00E62A3D">
        <w:rPr>
          <w:rStyle w:val="spellingerror"/>
          <w:rFonts w:ascii="Calibri" w:hAnsi="Calibri" w:cs="Calibri"/>
          <w:color w:val="000000"/>
          <w:shd w:val="clear" w:color="auto" w:fill="FFFFFF"/>
        </w:rPr>
        <w:t>hyposplenici</w:t>
      </w:r>
      <w:r w:rsidRPr="00E62A3D">
        <w:rPr>
          <w:rStyle w:val="normaltextrun"/>
          <w:rFonts w:ascii="Calibri" w:hAnsi="Calibri" w:cs="Calibri"/>
          <w:color w:val="000000"/>
          <w:shd w:val="clear" w:color="auto" w:fill="FFFFFF"/>
        </w:rPr>
        <w:t>; pacienty s protinádorovou léčbou; pacienty před/po transplantaci solidních orgánů a/nebo kostní dřeně; osoby s těžkou obezi</w:t>
      </w:r>
      <w:r w:rsidRPr="00AF667A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tou (BMI nad 40 kg/m2) a osoby starší 65 let věku. V případě pneumokokových onemocnění jsou ve zvýšeném riziku onemocnění kojenci a děti do 5 let věku, osoby ve věku 60 let a starší, zvláště starší </w:t>
      </w:r>
      <w:r w:rsidRPr="00AF667A">
        <w:rPr>
          <w:rStyle w:val="normaltextrun"/>
          <w:rFonts w:ascii="Calibri" w:hAnsi="Calibri" w:cs="Calibri"/>
          <w:color w:val="000000"/>
          <w:shd w:val="clear" w:color="auto" w:fill="FFFFFF"/>
        </w:rPr>
        <w:lastRenderedPageBreak/>
        <w:t>osoby žijící v pobytových zařízeních sociální péče, oslabené nebo s doprovázejícími chronickými onemocněními, kuřáci a astmatici, </w:t>
      </w:r>
      <w:r w:rsidRPr="00AF667A">
        <w:rPr>
          <w:rStyle w:val="spellingerror"/>
          <w:rFonts w:ascii="Calibri" w:hAnsi="Calibri" w:cs="Calibri"/>
          <w:color w:val="000000"/>
          <w:shd w:val="clear" w:color="auto" w:fill="FFFFFF"/>
        </w:rPr>
        <w:t>asplenici</w:t>
      </w:r>
      <w:r w:rsidRPr="00AF667A">
        <w:rPr>
          <w:rStyle w:val="normaltextrun"/>
          <w:rFonts w:ascii="Calibri" w:hAnsi="Calibri" w:cs="Calibri"/>
          <w:color w:val="000000"/>
          <w:shd w:val="clear" w:color="auto" w:fill="FFFFFF"/>
        </w:rPr>
        <w:t>/</w:t>
      </w:r>
      <w:r w:rsidRPr="00AF667A">
        <w:rPr>
          <w:rStyle w:val="spellingerror"/>
          <w:rFonts w:ascii="Calibri" w:hAnsi="Calibri" w:cs="Calibri"/>
          <w:color w:val="000000"/>
          <w:shd w:val="clear" w:color="auto" w:fill="FFFFFF"/>
        </w:rPr>
        <w:t>hyposplenici</w:t>
      </w:r>
      <w:r w:rsidRPr="00AF667A">
        <w:rPr>
          <w:rStyle w:val="normaltextrun"/>
          <w:rFonts w:ascii="Calibri" w:hAnsi="Calibri" w:cs="Calibri"/>
          <w:color w:val="000000"/>
          <w:shd w:val="clear" w:color="auto" w:fill="FFFFFF"/>
        </w:rPr>
        <w:t>. Očkování proti chřipce je doporučeno také všem zdravotnickým pracovníkům, jako součást ochrany pracovníka a jeho pacientů. Při výběru vakcíny proti chřipce se doporučuje použití </w:t>
      </w:r>
      <w:r w:rsidRPr="00AF667A">
        <w:rPr>
          <w:rStyle w:val="spellingerror"/>
          <w:rFonts w:ascii="Calibri" w:hAnsi="Calibri" w:cs="Calibri"/>
          <w:color w:val="000000"/>
          <w:shd w:val="clear" w:color="auto" w:fill="FFFFFF"/>
        </w:rPr>
        <w:t>tetravalentní</w:t>
      </w:r>
      <w:r w:rsidRPr="00AF667A">
        <w:rPr>
          <w:rStyle w:val="normaltextrun"/>
          <w:rFonts w:ascii="Calibri" w:hAnsi="Calibri" w:cs="Calibri"/>
          <w:color w:val="000000"/>
          <w:shd w:val="clear" w:color="auto" w:fill="FFFFFF"/>
        </w:rPr>
        <w:t> vakcíny z důvodu širší ochrany vůči cirkulujícím virům chřipky.</w:t>
      </w:r>
      <w:r w:rsidRPr="00AF667A">
        <w:rPr>
          <w:rStyle w:val="eop"/>
          <w:rFonts w:ascii="Calibri" w:hAnsi="Calibri" w:cs="Calibri"/>
          <w:color w:val="000000"/>
        </w:rPr>
        <w:t> </w:t>
      </w:r>
    </w:p>
    <w:p w14:paraId="1AE03205" w14:textId="29A3D7E2" w:rsidR="00C93F00" w:rsidRPr="00FA2A14" w:rsidRDefault="00FA2A14" w:rsidP="00FA2A14">
      <w:pPr>
        <w:pStyle w:val="Nadpis1"/>
      </w:pPr>
      <w:r w:rsidRPr="00FA2A14">
        <w:rPr>
          <w:rStyle w:val="eop"/>
          <w:caps w:val="0"/>
        </w:rPr>
        <w:t> </w:t>
      </w:r>
      <w:bookmarkStart w:id="17" w:name="_Toc58138527"/>
      <w:r w:rsidR="00897DCE">
        <w:rPr>
          <w:rStyle w:val="eop"/>
          <w:caps w:val="0"/>
        </w:rPr>
        <w:t>15</w:t>
      </w:r>
      <w:r w:rsidRPr="00FA2A14">
        <w:rPr>
          <w:rStyle w:val="eop"/>
          <w:caps w:val="0"/>
        </w:rPr>
        <w:t>.</w:t>
      </w:r>
      <w:r w:rsidR="005D597E">
        <w:rPr>
          <w:rStyle w:val="eop"/>
          <w:caps w:val="0"/>
        </w:rPr>
        <w:t xml:space="preserve"> </w:t>
      </w:r>
      <w:r w:rsidRPr="00FA2A14">
        <w:rPr>
          <w:rStyle w:val="eop"/>
          <w:caps w:val="0"/>
        </w:rPr>
        <w:t>KARANTÉNA U OČKOVANÝCH OSOB</w:t>
      </w:r>
      <w:bookmarkEnd w:id="17"/>
    </w:p>
    <w:p w14:paraId="674E7371" w14:textId="77777777" w:rsidR="00EE3361" w:rsidRDefault="00EE3361" w:rsidP="00C93F0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</w:rPr>
      </w:pPr>
    </w:p>
    <w:p w14:paraId="25EBBD23" w14:textId="62F4E051" w:rsidR="00C93F00" w:rsidRPr="00D6656C" w:rsidRDefault="00C93F00" w:rsidP="00D6656C">
      <w:pPr>
        <w:spacing w:after="120" w:line="320" w:lineRule="exact"/>
        <w:jc w:val="both"/>
        <w:rPr>
          <w:rStyle w:val="normaltextrun"/>
          <w:rFonts w:cs="Calibri"/>
          <w:sz w:val="24"/>
          <w:szCs w:val="24"/>
          <w:lang w:eastAsia="cs-CZ"/>
        </w:rPr>
      </w:pPr>
      <w:r w:rsidRPr="00D6656C">
        <w:rPr>
          <w:rStyle w:val="normaltextrun"/>
          <w:rFonts w:ascii="Calibri" w:hAnsi="Calibri" w:cs="Calibri"/>
          <w:sz w:val="24"/>
          <w:szCs w:val="24"/>
          <w:lang w:eastAsia="cs-CZ"/>
        </w:rPr>
        <w:t>Na základě současného stavu vědeckého poznání nelze zatím zcela přesně stanovit míru a délku ochrany po očkování. V případě klinickými studiemi potvrzené vysoké </w:t>
      </w:r>
      <w:r w:rsidRPr="00D6656C">
        <w:rPr>
          <w:rStyle w:val="normaltextrun"/>
          <w:sz w:val="24"/>
          <w:szCs w:val="24"/>
          <w:lang w:eastAsia="cs-CZ"/>
        </w:rPr>
        <w:t>imunogenity</w:t>
      </w:r>
      <w:r w:rsidRPr="00D6656C">
        <w:rPr>
          <w:rStyle w:val="normaltextrun"/>
          <w:rFonts w:ascii="Calibri" w:hAnsi="Calibri" w:cs="Calibri"/>
          <w:sz w:val="24"/>
          <w:szCs w:val="24"/>
          <w:lang w:eastAsia="cs-CZ"/>
        </w:rPr>
        <w:t xml:space="preserve"> použité očkovací látky v ČR, je možné považovat očkované osoby za dostatečně imunní a chráněné před onemocněním </w:t>
      </w:r>
      <w:r w:rsidR="00343E21" w:rsidRPr="00D6656C">
        <w:rPr>
          <w:rStyle w:val="normaltextrun"/>
          <w:rFonts w:ascii="Calibri" w:hAnsi="Calibri" w:cs="Calibri"/>
          <w:sz w:val="24"/>
          <w:szCs w:val="24"/>
          <w:lang w:eastAsia="cs-CZ"/>
        </w:rPr>
        <w:t>COVID</w:t>
      </w:r>
      <w:r w:rsidRPr="00D6656C">
        <w:rPr>
          <w:rStyle w:val="normaltextrun"/>
          <w:rFonts w:ascii="Calibri" w:hAnsi="Calibri" w:cs="Calibri"/>
          <w:sz w:val="24"/>
          <w:szCs w:val="24"/>
          <w:lang w:eastAsia="cs-CZ"/>
        </w:rPr>
        <w:t>-19.</w:t>
      </w:r>
      <w:r w:rsidRPr="00D6656C">
        <w:rPr>
          <w:rStyle w:val="normaltextrun"/>
          <w:sz w:val="24"/>
          <w:szCs w:val="24"/>
          <w:lang w:eastAsia="cs-CZ"/>
        </w:rPr>
        <w:t> </w:t>
      </w:r>
    </w:p>
    <w:p w14:paraId="5FC3C0F4" w14:textId="4CEE450F" w:rsidR="00C93F00" w:rsidRPr="00D6656C" w:rsidRDefault="00C93F00" w:rsidP="00D6656C">
      <w:pPr>
        <w:spacing w:after="120" w:line="320" w:lineRule="exact"/>
        <w:jc w:val="both"/>
        <w:rPr>
          <w:rStyle w:val="normaltextrun"/>
          <w:sz w:val="24"/>
          <w:szCs w:val="24"/>
          <w:lang w:eastAsia="cs-CZ"/>
        </w:rPr>
      </w:pPr>
      <w:r w:rsidRPr="00D6656C">
        <w:rPr>
          <w:rStyle w:val="normaltextrun"/>
          <w:rFonts w:ascii="Calibri" w:hAnsi="Calibri" w:cs="Calibri"/>
          <w:sz w:val="24"/>
          <w:szCs w:val="24"/>
          <w:lang w:eastAsia="cs-CZ"/>
        </w:rPr>
        <w:t xml:space="preserve">Pokud se očkovaný jedinec, který má zdokumentované a potvrzené očkování proti onemocnění </w:t>
      </w:r>
      <w:r w:rsidR="00343E21" w:rsidRPr="00D6656C">
        <w:rPr>
          <w:rStyle w:val="normaltextrun"/>
          <w:rFonts w:ascii="Calibri" w:hAnsi="Calibri" w:cs="Calibri"/>
          <w:sz w:val="24"/>
          <w:szCs w:val="24"/>
          <w:lang w:eastAsia="cs-CZ"/>
        </w:rPr>
        <w:t>COVID</w:t>
      </w:r>
      <w:r w:rsidRPr="00D6656C">
        <w:rPr>
          <w:rStyle w:val="normaltextrun"/>
          <w:rFonts w:ascii="Calibri" w:hAnsi="Calibri" w:cs="Calibri"/>
          <w:sz w:val="24"/>
          <w:szCs w:val="24"/>
          <w:lang w:eastAsia="cs-CZ"/>
        </w:rPr>
        <w:t xml:space="preserve">-19, dostane do epidemiologicky významného kontaktu s osobou nakaženou </w:t>
      </w:r>
      <w:r w:rsidR="00343E21" w:rsidRPr="00D6656C">
        <w:rPr>
          <w:rStyle w:val="normaltextrun"/>
          <w:rFonts w:ascii="Calibri" w:hAnsi="Calibri" w:cs="Calibri"/>
          <w:sz w:val="24"/>
          <w:szCs w:val="24"/>
          <w:lang w:eastAsia="cs-CZ"/>
        </w:rPr>
        <w:t>COVID</w:t>
      </w:r>
      <w:r w:rsidRPr="00D6656C">
        <w:rPr>
          <w:rStyle w:val="normaltextrun"/>
          <w:rFonts w:ascii="Calibri" w:hAnsi="Calibri" w:cs="Calibri"/>
          <w:sz w:val="24"/>
          <w:szCs w:val="24"/>
          <w:lang w:eastAsia="cs-CZ"/>
        </w:rPr>
        <w:t xml:space="preserve">-19, nebude očkovanému jedinci nařízena karanténa. Podobně očkovanému jedinci nebude nařízena karanténa po návratu z oblastí se zvýšeným výskytem onemocnění </w:t>
      </w:r>
      <w:r w:rsidR="00343E21" w:rsidRPr="00D6656C">
        <w:rPr>
          <w:rStyle w:val="normaltextrun"/>
          <w:rFonts w:ascii="Calibri" w:hAnsi="Calibri" w:cs="Calibri"/>
          <w:sz w:val="24"/>
          <w:szCs w:val="24"/>
          <w:lang w:eastAsia="cs-CZ"/>
        </w:rPr>
        <w:t>COVID</w:t>
      </w:r>
      <w:r w:rsidRPr="00D6656C">
        <w:rPr>
          <w:rStyle w:val="normaltextrun"/>
          <w:rFonts w:ascii="Calibri" w:hAnsi="Calibri" w:cs="Calibri"/>
          <w:sz w:val="24"/>
          <w:szCs w:val="24"/>
          <w:lang w:eastAsia="cs-CZ"/>
        </w:rPr>
        <w:t>-19 zařazených do zemí se zvýšeným rizikem.</w:t>
      </w:r>
      <w:r w:rsidRPr="00D6656C">
        <w:rPr>
          <w:rStyle w:val="normaltextrun"/>
          <w:sz w:val="24"/>
          <w:szCs w:val="24"/>
          <w:lang w:eastAsia="cs-CZ"/>
        </w:rPr>
        <w:t> </w:t>
      </w:r>
    </w:p>
    <w:p w14:paraId="39DE71D4" w14:textId="77777777" w:rsidR="00C93F00" w:rsidRPr="00AF667A" w:rsidRDefault="00C93F00" w:rsidP="00C93F0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</w:p>
    <w:p w14:paraId="25C19A8C" w14:textId="5B6691B6" w:rsidR="00C93F00" w:rsidRPr="00FA2A14" w:rsidRDefault="00897DCE" w:rsidP="00FA2A14">
      <w:pPr>
        <w:pStyle w:val="Nadpis1"/>
      </w:pPr>
      <w:bookmarkStart w:id="18" w:name="_Toc58138528"/>
      <w:r>
        <w:rPr>
          <w:caps w:val="0"/>
        </w:rPr>
        <w:t>16</w:t>
      </w:r>
      <w:r w:rsidR="00FA2A14" w:rsidRPr="00FA2A14">
        <w:rPr>
          <w:caps w:val="0"/>
        </w:rPr>
        <w:t>.</w:t>
      </w:r>
      <w:r w:rsidR="005D597E">
        <w:rPr>
          <w:caps w:val="0"/>
        </w:rPr>
        <w:t xml:space="preserve"> </w:t>
      </w:r>
      <w:r w:rsidR="00FA2A14" w:rsidRPr="00FA2A14">
        <w:rPr>
          <w:caps w:val="0"/>
        </w:rPr>
        <w:t>POZNÁMKA</w:t>
      </w:r>
      <w:bookmarkEnd w:id="18"/>
    </w:p>
    <w:p w14:paraId="74A09E14" w14:textId="67C31844" w:rsidR="00C93F00" w:rsidRPr="00EE3361" w:rsidRDefault="00C93F00" w:rsidP="00EE3361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Segoe UI"/>
        </w:rPr>
      </w:pPr>
      <w:r w:rsidRPr="00AF667A">
        <w:rPr>
          <w:rStyle w:val="eop"/>
          <w:rFonts w:ascii="Calibri" w:hAnsi="Calibri" w:cs="Calibri"/>
        </w:rPr>
        <w:t> </w:t>
      </w:r>
    </w:p>
    <w:p w14:paraId="2173633C" w14:textId="71C3882A" w:rsidR="00C93F00" w:rsidRPr="00D6656C" w:rsidRDefault="00C93F00" w:rsidP="00D6656C">
      <w:pPr>
        <w:spacing w:after="120" w:line="320" w:lineRule="exact"/>
        <w:jc w:val="both"/>
        <w:rPr>
          <w:rStyle w:val="normaltextrun"/>
          <w:rFonts w:ascii="Calibri" w:hAnsi="Calibri" w:cs="Calibri"/>
          <w:sz w:val="24"/>
          <w:szCs w:val="24"/>
          <w:lang w:eastAsia="cs-CZ"/>
        </w:rPr>
      </w:pPr>
      <w:r w:rsidRPr="00D6656C">
        <w:rPr>
          <w:rStyle w:val="normaltextrun"/>
          <w:rFonts w:ascii="Calibri" w:hAnsi="Calibri" w:cs="Calibri"/>
          <w:sz w:val="24"/>
          <w:szCs w:val="24"/>
          <w:lang w:eastAsia="cs-CZ"/>
        </w:rPr>
        <w:t>Základní teze této vakcinační strategie byly předloženy výborem České </w:t>
      </w:r>
      <w:r w:rsidRPr="00D6656C">
        <w:rPr>
          <w:rStyle w:val="normaltextrun"/>
          <w:sz w:val="24"/>
          <w:szCs w:val="24"/>
          <w:lang w:eastAsia="cs-CZ"/>
        </w:rPr>
        <w:t>vakcinologické</w:t>
      </w:r>
      <w:r w:rsidRPr="00D6656C">
        <w:rPr>
          <w:rStyle w:val="normaltextrun"/>
          <w:rFonts w:ascii="Calibri" w:hAnsi="Calibri" w:cs="Calibri"/>
          <w:sz w:val="24"/>
          <w:szCs w:val="24"/>
          <w:lang w:eastAsia="cs-CZ"/>
        </w:rPr>
        <w:t> společnosti ČLS JEP, projednány a schváleny Národní imunizační komisí (30.7.2020) a vědeckou radou Ministerstva zdravotnictví (8.9.2020). Současně byla očkovací strategie předložena k veřejné diskusi, která probíhala v období 7.9.-21.9.2020</w:t>
      </w:r>
      <w:r w:rsidR="00F667FC" w:rsidRPr="00D6656C">
        <w:rPr>
          <w:rStyle w:val="normaltextrun"/>
          <w:rFonts w:ascii="Calibri" w:hAnsi="Calibri" w:cs="Calibri"/>
          <w:sz w:val="24"/>
          <w:szCs w:val="24"/>
          <w:lang w:eastAsia="cs-CZ"/>
        </w:rPr>
        <w:t xml:space="preserve">, </w:t>
      </w:r>
      <w:r w:rsidRPr="00D6656C">
        <w:rPr>
          <w:rStyle w:val="normaltextrun"/>
          <w:rFonts w:ascii="Calibri" w:hAnsi="Calibri" w:cs="Calibri"/>
          <w:sz w:val="24"/>
          <w:szCs w:val="24"/>
          <w:lang w:eastAsia="cs-CZ"/>
        </w:rPr>
        <w:t xml:space="preserve">stanoviska veřejnosti byly zasílána na e-mailovou adresu: </w:t>
      </w:r>
      <w:hyperlink r:id="rId20" w:history="1">
        <w:r w:rsidRPr="00D6656C">
          <w:rPr>
            <w:rStyle w:val="normaltextrun"/>
            <w:sz w:val="24"/>
            <w:szCs w:val="24"/>
            <w:lang w:eastAsia="cs-CZ"/>
          </w:rPr>
          <w:t>vakcinacnistrategie@mzcr.cz</w:t>
        </w:r>
      </w:hyperlink>
      <w:r w:rsidRPr="00D6656C">
        <w:rPr>
          <w:rStyle w:val="normaltextrun"/>
          <w:rFonts w:ascii="Calibri" w:hAnsi="Calibri" w:cs="Calibri"/>
          <w:sz w:val="24"/>
          <w:szCs w:val="24"/>
          <w:lang w:eastAsia="cs-CZ"/>
        </w:rPr>
        <w:t>.</w:t>
      </w:r>
      <w:r w:rsidRPr="00D6656C">
        <w:rPr>
          <w:rStyle w:val="normaltextrun"/>
          <w:sz w:val="24"/>
          <w:szCs w:val="24"/>
          <w:lang w:eastAsia="cs-CZ"/>
        </w:rPr>
        <w:t> </w:t>
      </w:r>
      <w:r w:rsidR="005407BA" w:rsidRPr="00D6656C">
        <w:rPr>
          <w:rStyle w:val="normaltextrun"/>
          <w:sz w:val="24"/>
          <w:szCs w:val="24"/>
          <w:lang w:eastAsia="cs-CZ"/>
        </w:rPr>
        <w:t>Připomínky veřejnosti byly vypořádány. V současné době jsou vypořádávány připomínky z vnitřního připomínkového řízení Ministerstva zdravotnictví před předložením materiálu do porady vedení a vládě ČR.</w:t>
      </w:r>
    </w:p>
    <w:p w14:paraId="62B2C6D7" w14:textId="3A0D3EBE" w:rsidR="006451F9" w:rsidRPr="00D6656C" w:rsidRDefault="006451F9" w:rsidP="00D6656C">
      <w:pPr>
        <w:spacing w:after="120" w:line="320" w:lineRule="exact"/>
        <w:jc w:val="both"/>
        <w:rPr>
          <w:rStyle w:val="normaltextrun"/>
          <w:rFonts w:ascii="Calibri" w:hAnsi="Calibri" w:cs="Calibri"/>
          <w:sz w:val="24"/>
          <w:szCs w:val="24"/>
          <w:lang w:eastAsia="cs-CZ"/>
        </w:rPr>
      </w:pPr>
    </w:p>
    <w:sectPr w:rsidR="006451F9" w:rsidRPr="00D6656C" w:rsidSect="00F15C4B">
      <w:footerReference w:type="default" r:id="rId21"/>
      <w:pgSz w:w="11906" w:h="16838"/>
      <w:pgMar w:top="1417" w:right="1417" w:bottom="1417" w:left="1417" w:header="708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086A5" w14:textId="77777777" w:rsidR="002F1F90" w:rsidRDefault="002F1F90">
      <w:r>
        <w:separator/>
      </w:r>
    </w:p>
  </w:endnote>
  <w:endnote w:type="continuationSeparator" w:id="0">
    <w:p w14:paraId="61344016" w14:textId="77777777" w:rsidR="002F1F90" w:rsidRDefault="002F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0137230"/>
      <w:docPartObj>
        <w:docPartGallery w:val="Page Numbers (Bottom of Page)"/>
        <w:docPartUnique/>
      </w:docPartObj>
    </w:sdtPr>
    <w:sdtEndPr/>
    <w:sdtContent>
      <w:p w14:paraId="24FBCAF2" w14:textId="3F8AF41A" w:rsidR="005F32DF" w:rsidRDefault="005F32D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3BE">
          <w:rPr>
            <w:noProof/>
          </w:rPr>
          <w:t>10</w:t>
        </w:r>
        <w:r>
          <w:fldChar w:fldCharType="end"/>
        </w:r>
      </w:p>
    </w:sdtContent>
  </w:sdt>
  <w:p w14:paraId="6AA5782F" w14:textId="77777777" w:rsidR="005F32DF" w:rsidRDefault="005F32D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7F25E" w14:textId="77777777" w:rsidR="002F1F90" w:rsidRDefault="002F1F90">
      <w:r>
        <w:separator/>
      </w:r>
    </w:p>
  </w:footnote>
  <w:footnote w:type="continuationSeparator" w:id="0">
    <w:p w14:paraId="605B4D1B" w14:textId="77777777" w:rsidR="002F1F90" w:rsidRDefault="002F1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27F6C"/>
    <w:multiLevelType w:val="multilevel"/>
    <w:tmpl w:val="603AF6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5514E"/>
    <w:multiLevelType w:val="multilevel"/>
    <w:tmpl w:val="BE6254A2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E336D"/>
    <w:multiLevelType w:val="multilevel"/>
    <w:tmpl w:val="D974B0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" w15:restartNumberingAfterBreak="0">
    <w:nsid w:val="146062CA"/>
    <w:multiLevelType w:val="multilevel"/>
    <w:tmpl w:val="6278299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1E6615"/>
    <w:multiLevelType w:val="hybridMultilevel"/>
    <w:tmpl w:val="A75CF0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656CC"/>
    <w:multiLevelType w:val="multilevel"/>
    <w:tmpl w:val="3BC2D4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010BDA"/>
    <w:multiLevelType w:val="hybridMultilevel"/>
    <w:tmpl w:val="BD7013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CF55A2"/>
    <w:multiLevelType w:val="hybridMultilevel"/>
    <w:tmpl w:val="33ACD368"/>
    <w:lvl w:ilvl="0" w:tplc="53C29AD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A20E4"/>
    <w:multiLevelType w:val="multilevel"/>
    <w:tmpl w:val="0A6420E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503CB6"/>
    <w:multiLevelType w:val="multilevel"/>
    <w:tmpl w:val="C0E6CE66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6D3759"/>
    <w:multiLevelType w:val="hybridMultilevel"/>
    <w:tmpl w:val="21DEB9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55D33"/>
    <w:multiLevelType w:val="multilevel"/>
    <w:tmpl w:val="5C209BC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155152"/>
    <w:multiLevelType w:val="multilevel"/>
    <w:tmpl w:val="0D6E978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6774E9"/>
    <w:multiLevelType w:val="multilevel"/>
    <w:tmpl w:val="B57286B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CC14DB"/>
    <w:multiLevelType w:val="multilevel"/>
    <w:tmpl w:val="73669D9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AF48E7"/>
    <w:multiLevelType w:val="multilevel"/>
    <w:tmpl w:val="F9A4C6D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7843D0"/>
    <w:multiLevelType w:val="multilevel"/>
    <w:tmpl w:val="8E1C3E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6018D3"/>
    <w:multiLevelType w:val="multilevel"/>
    <w:tmpl w:val="C3AE6E0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8" w15:restartNumberingAfterBreak="0">
    <w:nsid w:val="54017360"/>
    <w:multiLevelType w:val="multilevel"/>
    <w:tmpl w:val="DCEE4416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0A3DF9"/>
    <w:multiLevelType w:val="multilevel"/>
    <w:tmpl w:val="862E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7245023"/>
    <w:multiLevelType w:val="multilevel"/>
    <w:tmpl w:val="4010F226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A902B4"/>
    <w:multiLevelType w:val="multilevel"/>
    <w:tmpl w:val="C5F041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4D2833"/>
    <w:multiLevelType w:val="multilevel"/>
    <w:tmpl w:val="B524967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053488"/>
    <w:multiLevelType w:val="multilevel"/>
    <w:tmpl w:val="14820614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9C4F4E"/>
    <w:multiLevelType w:val="hybridMultilevel"/>
    <w:tmpl w:val="6298C2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C53365"/>
    <w:multiLevelType w:val="multilevel"/>
    <w:tmpl w:val="B4D4B8A4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9617E2"/>
    <w:multiLevelType w:val="hybridMultilevel"/>
    <w:tmpl w:val="D0CCAB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2A3E0C"/>
    <w:multiLevelType w:val="multilevel"/>
    <w:tmpl w:val="31561D14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997815"/>
    <w:multiLevelType w:val="hybridMultilevel"/>
    <w:tmpl w:val="FD3A37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BA569B"/>
    <w:multiLevelType w:val="multilevel"/>
    <w:tmpl w:val="71B821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4361D8"/>
    <w:multiLevelType w:val="hybridMultilevel"/>
    <w:tmpl w:val="FEA6F1AE"/>
    <w:lvl w:ilvl="0" w:tplc="C47AFEF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044E73"/>
    <w:multiLevelType w:val="multilevel"/>
    <w:tmpl w:val="A74469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880961"/>
    <w:multiLevelType w:val="multilevel"/>
    <w:tmpl w:val="E898A122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6"/>
  </w:num>
  <w:num w:numId="27">
    <w:abstractNumId w:val="10"/>
  </w:num>
  <w:num w:numId="28">
    <w:abstractNumId w:val="24"/>
  </w:num>
  <w:num w:numId="29">
    <w:abstractNumId w:val="30"/>
  </w:num>
  <w:num w:numId="30">
    <w:abstractNumId w:val="28"/>
  </w:num>
  <w:num w:numId="31">
    <w:abstractNumId w:val="30"/>
  </w:num>
  <w:num w:numId="32">
    <w:abstractNumId w:val="26"/>
  </w:num>
  <w:num w:numId="33">
    <w:abstractNumId w:val="7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F00"/>
    <w:rsid w:val="000008E1"/>
    <w:rsid w:val="00001D46"/>
    <w:rsid w:val="00021EB8"/>
    <w:rsid w:val="000221CB"/>
    <w:rsid w:val="000263CF"/>
    <w:rsid w:val="0004531F"/>
    <w:rsid w:val="000464BB"/>
    <w:rsid w:val="00047FB5"/>
    <w:rsid w:val="000720BC"/>
    <w:rsid w:val="000844F7"/>
    <w:rsid w:val="00086346"/>
    <w:rsid w:val="00095834"/>
    <w:rsid w:val="000C1201"/>
    <w:rsid w:val="000C3EED"/>
    <w:rsid w:val="000D4D08"/>
    <w:rsid w:val="000F5FBE"/>
    <w:rsid w:val="0012739A"/>
    <w:rsid w:val="00143EB2"/>
    <w:rsid w:val="0015303D"/>
    <w:rsid w:val="001578BA"/>
    <w:rsid w:val="00187D6B"/>
    <w:rsid w:val="001A0C2C"/>
    <w:rsid w:val="001A4A87"/>
    <w:rsid w:val="001A632A"/>
    <w:rsid w:val="001C51C4"/>
    <w:rsid w:val="001D35AA"/>
    <w:rsid w:val="001E422B"/>
    <w:rsid w:val="001E70AC"/>
    <w:rsid w:val="00201B81"/>
    <w:rsid w:val="00204A5C"/>
    <w:rsid w:val="00211266"/>
    <w:rsid w:val="00236B65"/>
    <w:rsid w:val="00237572"/>
    <w:rsid w:val="00241DF4"/>
    <w:rsid w:val="00254CE0"/>
    <w:rsid w:val="002573BE"/>
    <w:rsid w:val="0026054F"/>
    <w:rsid w:val="002725D0"/>
    <w:rsid w:val="00272887"/>
    <w:rsid w:val="00277C24"/>
    <w:rsid w:val="00287BB7"/>
    <w:rsid w:val="002B316A"/>
    <w:rsid w:val="002C260B"/>
    <w:rsid w:val="002C33A2"/>
    <w:rsid w:val="002C4FDA"/>
    <w:rsid w:val="002F056E"/>
    <w:rsid w:val="002F1F90"/>
    <w:rsid w:val="002F41B0"/>
    <w:rsid w:val="00304DA1"/>
    <w:rsid w:val="003314B8"/>
    <w:rsid w:val="00343E21"/>
    <w:rsid w:val="00355CC5"/>
    <w:rsid w:val="003809BF"/>
    <w:rsid w:val="003818B3"/>
    <w:rsid w:val="003901A6"/>
    <w:rsid w:val="003971AF"/>
    <w:rsid w:val="00397879"/>
    <w:rsid w:val="0039796D"/>
    <w:rsid w:val="003A7C70"/>
    <w:rsid w:val="00402BBF"/>
    <w:rsid w:val="00417119"/>
    <w:rsid w:val="004215ED"/>
    <w:rsid w:val="0042618C"/>
    <w:rsid w:val="00430E27"/>
    <w:rsid w:val="004348FB"/>
    <w:rsid w:val="00445964"/>
    <w:rsid w:val="00465D17"/>
    <w:rsid w:val="0046695B"/>
    <w:rsid w:val="004748B1"/>
    <w:rsid w:val="00482E27"/>
    <w:rsid w:val="00483411"/>
    <w:rsid w:val="00487BDB"/>
    <w:rsid w:val="00491DC3"/>
    <w:rsid w:val="00492810"/>
    <w:rsid w:val="00495740"/>
    <w:rsid w:val="00497E27"/>
    <w:rsid w:val="004B1168"/>
    <w:rsid w:val="004D5CE2"/>
    <w:rsid w:val="004E20A6"/>
    <w:rsid w:val="004F087B"/>
    <w:rsid w:val="004F20D7"/>
    <w:rsid w:val="004F57A9"/>
    <w:rsid w:val="00517377"/>
    <w:rsid w:val="00534363"/>
    <w:rsid w:val="005407BA"/>
    <w:rsid w:val="0054245A"/>
    <w:rsid w:val="00593A90"/>
    <w:rsid w:val="005A3EEF"/>
    <w:rsid w:val="005B64A4"/>
    <w:rsid w:val="005D597E"/>
    <w:rsid w:val="005E45FA"/>
    <w:rsid w:val="005F32DF"/>
    <w:rsid w:val="00605534"/>
    <w:rsid w:val="00630C2B"/>
    <w:rsid w:val="006451F9"/>
    <w:rsid w:val="0066389F"/>
    <w:rsid w:val="00664334"/>
    <w:rsid w:val="006653FE"/>
    <w:rsid w:val="00672DCC"/>
    <w:rsid w:val="006B21A8"/>
    <w:rsid w:val="006C774D"/>
    <w:rsid w:val="006E1237"/>
    <w:rsid w:val="006F12EA"/>
    <w:rsid w:val="007107EF"/>
    <w:rsid w:val="0072338A"/>
    <w:rsid w:val="0072475D"/>
    <w:rsid w:val="00743C8E"/>
    <w:rsid w:val="00760AB4"/>
    <w:rsid w:val="00762E4F"/>
    <w:rsid w:val="00763411"/>
    <w:rsid w:val="00777A2C"/>
    <w:rsid w:val="00781AF1"/>
    <w:rsid w:val="007953A7"/>
    <w:rsid w:val="00797A40"/>
    <w:rsid w:val="007B4F0B"/>
    <w:rsid w:val="007C3F8D"/>
    <w:rsid w:val="007E3F2E"/>
    <w:rsid w:val="00800003"/>
    <w:rsid w:val="00807860"/>
    <w:rsid w:val="00815732"/>
    <w:rsid w:val="0082748C"/>
    <w:rsid w:val="0083275F"/>
    <w:rsid w:val="0083327E"/>
    <w:rsid w:val="00837C75"/>
    <w:rsid w:val="00884957"/>
    <w:rsid w:val="00887EA6"/>
    <w:rsid w:val="00897B77"/>
    <w:rsid w:val="00897DCE"/>
    <w:rsid w:val="008D4253"/>
    <w:rsid w:val="008F1A80"/>
    <w:rsid w:val="008F36E2"/>
    <w:rsid w:val="0090253F"/>
    <w:rsid w:val="0090312E"/>
    <w:rsid w:val="00905A1F"/>
    <w:rsid w:val="00910ADC"/>
    <w:rsid w:val="00931C03"/>
    <w:rsid w:val="00933010"/>
    <w:rsid w:val="00936975"/>
    <w:rsid w:val="00960813"/>
    <w:rsid w:val="00980925"/>
    <w:rsid w:val="0098279C"/>
    <w:rsid w:val="0098411F"/>
    <w:rsid w:val="009A1360"/>
    <w:rsid w:val="009C497A"/>
    <w:rsid w:val="009C711D"/>
    <w:rsid w:val="009E0512"/>
    <w:rsid w:val="00A114BA"/>
    <w:rsid w:val="00A156D7"/>
    <w:rsid w:val="00A21E3F"/>
    <w:rsid w:val="00A2432A"/>
    <w:rsid w:val="00A24D06"/>
    <w:rsid w:val="00A601D6"/>
    <w:rsid w:val="00A62EEB"/>
    <w:rsid w:val="00A677C6"/>
    <w:rsid w:val="00A778B1"/>
    <w:rsid w:val="00A93B97"/>
    <w:rsid w:val="00A96111"/>
    <w:rsid w:val="00AB2301"/>
    <w:rsid w:val="00AC44D4"/>
    <w:rsid w:val="00AF0406"/>
    <w:rsid w:val="00AF667A"/>
    <w:rsid w:val="00B0005B"/>
    <w:rsid w:val="00B06F66"/>
    <w:rsid w:val="00B15F20"/>
    <w:rsid w:val="00B32BF8"/>
    <w:rsid w:val="00B44D19"/>
    <w:rsid w:val="00B50CC1"/>
    <w:rsid w:val="00B754F4"/>
    <w:rsid w:val="00B76BA9"/>
    <w:rsid w:val="00B90631"/>
    <w:rsid w:val="00BA76E0"/>
    <w:rsid w:val="00BA7E1B"/>
    <w:rsid w:val="00BD2D8C"/>
    <w:rsid w:val="00BF118F"/>
    <w:rsid w:val="00BF2DBE"/>
    <w:rsid w:val="00C1246A"/>
    <w:rsid w:val="00C34C97"/>
    <w:rsid w:val="00C359C5"/>
    <w:rsid w:val="00C422F7"/>
    <w:rsid w:val="00C518D7"/>
    <w:rsid w:val="00C77E39"/>
    <w:rsid w:val="00C931EF"/>
    <w:rsid w:val="00C93F00"/>
    <w:rsid w:val="00C9452B"/>
    <w:rsid w:val="00C95D55"/>
    <w:rsid w:val="00CA46CE"/>
    <w:rsid w:val="00CB0CAA"/>
    <w:rsid w:val="00CB2571"/>
    <w:rsid w:val="00CD129C"/>
    <w:rsid w:val="00CF6E83"/>
    <w:rsid w:val="00D031D1"/>
    <w:rsid w:val="00D31DEC"/>
    <w:rsid w:val="00D35A25"/>
    <w:rsid w:val="00D37FF5"/>
    <w:rsid w:val="00D529D4"/>
    <w:rsid w:val="00D6656C"/>
    <w:rsid w:val="00D72648"/>
    <w:rsid w:val="00D729D0"/>
    <w:rsid w:val="00D739F1"/>
    <w:rsid w:val="00DA1268"/>
    <w:rsid w:val="00DB0D74"/>
    <w:rsid w:val="00DB373D"/>
    <w:rsid w:val="00DB7A50"/>
    <w:rsid w:val="00DE37AC"/>
    <w:rsid w:val="00DF6B9A"/>
    <w:rsid w:val="00E11227"/>
    <w:rsid w:val="00E21414"/>
    <w:rsid w:val="00E46AF4"/>
    <w:rsid w:val="00E53638"/>
    <w:rsid w:val="00E5619B"/>
    <w:rsid w:val="00E61B4F"/>
    <w:rsid w:val="00E62A3D"/>
    <w:rsid w:val="00E62D11"/>
    <w:rsid w:val="00EA0C0C"/>
    <w:rsid w:val="00EA2100"/>
    <w:rsid w:val="00EC1249"/>
    <w:rsid w:val="00EC4F3A"/>
    <w:rsid w:val="00ED2973"/>
    <w:rsid w:val="00ED780B"/>
    <w:rsid w:val="00EE3361"/>
    <w:rsid w:val="00EE592C"/>
    <w:rsid w:val="00F15C4B"/>
    <w:rsid w:val="00F249CF"/>
    <w:rsid w:val="00F36934"/>
    <w:rsid w:val="00F41F24"/>
    <w:rsid w:val="00F468E9"/>
    <w:rsid w:val="00F545A1"/>
    <w:rsid w:val="00F667FC"/>
    <w:rsid w:val="00F91A4C"/>
    <w:rsid w:val="00F92088"/>
    <w:rsid w:val="00FA2A14"/>
    <w:rsid w:val="00FA2B28"/>
    <w:rsid w:val="00FA2BCB"/>
    <w:rsid w:val="00FA6690"/>
    <w:rsid w:val="00FB2049"/>
    <w:rsid w:val="00FB204A"/>
    <w:rsid w:val="00FC297D"/>
    <w:rsid w:val="00FC5D1C"/>
    <w:rsid w:val="00FD00F8"/>
    <w:rsid w:val="00FD69B4"/>
    <w:rsid w:val="00FE36E7"/>
    <w:rsid w:val="00FE3A77"/>
    <w:rsid w:val="00FE4BC2"/>
    <w:rsid w:val="00FF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0FE01"/>
  <w15:chartTrackingRefBased/>
  <w15:docId w15:val="{DB05AA2C-4E9E-428B-9A09-07B7050F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9B4"/>
  </w:style>
  <w:style w:type="paragraph" w:styleId="Nadpis1">
    <w:name w:val="heading 1"/>
    <w:basedOn w:val="Normln"/>
    <w:next w:val="Normln"/>
    <w:link w:val="Nadpis1Char"/>
    <w:uiPriority w:val="9"/>
    <w:qFormat/>
    <w:rsid w:val="00204A5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D69B4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D69B4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D69B4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D69B4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D69B4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D69B4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D69B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D69B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FD69B4"/>
    <w:rPr>
      <w:caps/>
      <w:color w:val="1F3763" w:themeColor="accent1" w:themeShade="7F"/>
      <w:spacing w:val="15"/>
    </w:rPr>
  </w:style>
  <w:style w:type="character" w:styleId="Hypertextovodkaz">
    <w:name w:val="Hyperlink"/>
    <w:basedOn w:val="Standardnpsmoodstavce"/>
    <w:uiPriority w:val="99"/>
    <w:unhideWhenUsed/>
    <w:rsid w:val="00C93F00"/>
    <w:rPr>
      <w:color w:val="0563C1"/>
      <w:u w:val="single"/>
    </w:rPr>
  </w:style>
  <w:style w:type="paragraph" w:customStyle="1" w:styleId="paragraph">
    <w:name w:val="paragraph"/>
    <w:basedOn w:val="Normln"/>
    <w:rsid w:val="00C93F00"/>
    <w:pPr>
      <w:spacing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C93F00"/>
  </w:style>
  <w:style w:type="character" w:customStyle="1" w:styleId="eop">
    <w:name w:val="eop"/>
    <w:basedOn w:val="Standardnpsmoodstavce"/>
    <w:rsid w:val="00C93F00"/>
  </w:style>
  <w:style w:type="character" w:customStyle="1" w:styleId="spellingerror">
    <w:name w:val="spellingerror"/>
    <w:basedOn w:val="Standardnpsmoodstavce"/>
    <w:rsid w:val="00C93F00"/>
  </w:style>
  <w:style w:type="character" w:styleId="Sledovanodkaz">
    <w:name w:val="FollowedHyperlink"/>
    <w:basedOn w:val="Standardnpsmoodstavce"/>
    <w:uiPriority w:val="99"/>
    <w:semiHidden/>
    <w:unhideWhenUsed/>
    <w:rsid w:val="00C93F00"/>
    <w:rPr>
      <w:color w:val="954F72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C93F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3F00"/>
    <w:rPr>
      <w:rFonts w:ascii="Calibri" w:hAnsi="Calibri" w:cs="Calibri"/>
    </w:rPr>
  </w:style>
  <w:style w:type="paragraph" w:styleId="Odstavecseseznamem">
    <w:name w:val="List Paragraph"/>
    <w:aliases w:val="Dot pt,F5 List Paragraph,List Paragraph1,Recommendation,List Paragraph11,Kolorowa lista — akcent 11,Akapit z listą1,Numerowanie,Listaszerű bekezdés1,List Paragraph à moi,No Spacing1,List Paragraph Char Char Char,Bullet 1,2"/>
    <w:basedOn w:val="Normln"/>
    <w:link w:val="OdstavecseseznamemChar"/>
    <w:uiPriority w:val="34"/>
    <w:qFormat/>
    <w:rsid w:val="00C93F00"/>
    <w:pPr>
      <w:ind w:left="720"/>
      <w:contextualSpacing/>
    </w:pPr>
  </w:style>
  <w:style w:type="character" w:styleId="Zdraznnintenzivn">
    <w:name w:val="Intense Emphasis"/>
    <w:uiPriority w:val="21"/>
    <w:qFormat/>
    <w:rsid w:val="00FD69B4"/>
    <w:rPr>
      <w:b/>
      <w:bCs/>
      <w:caps/>
      <w:color w:val="1F3763" w:themeColor="accent1" w:themeShade="7F"/>
      <w:spacing w:val="10"/>
    </w:rPr>
  </w:style>
  <w:style w:type="character" w:styleId="Odkaznakoment">
    <w:name w:val="annotation reference"/>
    <w:basedOn w:val="Standardnpsmoodstavce"/>
    <w:uiPriority w:val="99"/>
    <w:semiHidden/>
    <w:unhideWhenUsed/>
    <w:rsid w:val="00C93F0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93F00"/>
  </w:style>
  <w:style w:type="character" w:customStyle="1" w:styleId="TextkomenteChar">
    <w:name w:val="Text komentáře Char"/>
    <w:basedOn w:val="Standardnpsmoodstavce"/>
    <w:link w:val="Textkomente"/>
    <w:uiPriority w:val="99"/>
    <w:rsid w:val="00C93F00"/>
    <w:rPr>
      <w:rFonts w:ascii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93F0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93F00"/>
    <w:rPr>
      <w:rFonts w:ascii="Calibri" w:hAnsi="Calibri" w:cs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3F0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3F00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FD69B4"/>
    <w:rPr>
      <w:color w:val="808080"/>
    </w:rPr>
  </w:style>
  <w:style w:type="paragraph" w:styleId="Nzev">
    <w:name w:val="Title"/>
    <w:basedOn w:val="Normln"/>
    <w:next w:val="Normln"/>
    <w:link w:val="NzevChar"/>
    <w:uiPriority w:val="10"/>
    <w:qFormat/>
    <w:rsid w:val="00FD69B4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D69B4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204A5C"/>
    <w:rPr>
      <w:b/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dpis2Char">
    <w:name w:val="Nadpis 2 Char"/>
    <w:basedOn w:val="Standardnpsmoodstavce"/>
    <w:link w:val="Nadpis2"/>
    <w:uiPriority w:val="9"/>
    <w:rsid w:val="00FD69B4"/>
    <w:rPr>
      <w:caps/>
      <w:spacing w:val="15"/>
      <w:shd w:val="clear" w:color="auto" w:fill="D9E2F3" w:themeFill="accent1" w:themeFillTint="33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D69B4"/>
    <w:rPr>
      <w:caps/>
      <w:color w:val="2F5496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D69B4"/>
    <w:rPr>
      <w:caps/>
      <w:color w:val="2F5496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D69B4"/>
    <w:rPr>
      <w:caps/>
      <w:color w:val="2F5496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D69B4"/>
    <w:rPr>
      <w:caps/>
      <w:color w:val="2F5496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D69B4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D69B4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D69B4"/>
    <w:rPr>
      <w:b/>
      <w:bCs/>
      <w:color w:val="2F5496" w:themeColor="accent1" w:themeShade="BF"/>
      <w:sz w:val="16"/>
      <w:szCs w:val="1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D69B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dpisChar">
    <w:name w:val="Podnadpis Char"/>
    <w:basedOn w:val="Standardnpsmoodstavce"/>
    <w:link w:val="Podnadpis"/>
    <w:uiPriority w:val="11"/>
    <w:rsid w:val="00FD69B4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FD69B4"/>
    <w:rPr>
      <w:b/>
      <w:bCs/>
    </w:rPr>
  </w:style>
  <w:style w:type="character" w:styleId="Zdraznn">
    <w:name w:val="Emphasis"/>
    <w:uiPriority w:val="20"/>
    <w:qFormat/>
    <w:rsid w:val="00FD69B4"/>
    <w:rPr>
      <w:caps/>
      <w:color w:val="1F3763" w:themeColor="accent1" w:themeShade="7F"/>
      <w:spacing w:val="5"/>
    </w:rPr>
  </w:style>
  <w:style w:type="paragraph" w:styleId="Bezmezer">
    <w:name w:val="No Spacing"/>
    <w:uiPriority w:val="1"/>
    <w:qFormat/>
    <w:rsid w:val="00FD69B4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FD69B4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FD69B4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D69B4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D69B4"/>
    <w:rPr>
      <w:color w:val="4472C4" w:themeColor="accent1"/>
      <w:sz w:val="24"/>
      <w:szCs w:val="24"/>
    </w:rPr>
  </w:style>
  <w:style w:type="character" w:styleId="Zdraznnjemn">
    <w:name w:val="Subtle Emphasis"/>
    <w:uiPriority w:val="19"/>
    <w:qFormat/>
    <w:rsid w:val="00FD69B4"/>
    <w:rPr>
      <w:i/>
      <w:iCs/>
      <w:color w:val="1F3763" w:themeColor="accent1" w:themeShade="7F"/>
    </w:rPr>
  </w:style>
  <w:style w:type="character" w:styleId="Odkazjemn">
    <w:name w:val="Subtle Reference"/>
    <w:uiPriority w:val="31"/>
    <w:qFormat/>
    <w:rsid w:val="00FD69B4"/>
    <w:rPr>
      <w:b/>
      <w:bCs/>
      <w:color w:val="4472C4" w:themeColor="accent1"/>
    </w:rPr>
  </w:style>
  <w:style w:type="character" w:styleId="Odkazintenzivn">
    <w:name w:val="Intense Reference"/>
    <w:uiPriority w:val="32"/>
    <w:qFormat/>
    <w:rsid w:val="00FD69B4"/>
    <w:rPr>
      <w:b/>
      <w:bCs/>
      <w:i/>
      <w:iCs/>
      <w:caps/>
      <w:color w:val="4472C4" w:themeColor="accent1"/>
    </w:rPr>
  </w:style>
  <w:style w:type="character" w:styleId="Nzevknihy">
    <w:name w:val="Book Title"/>
    <w:uiPriority w:val="33"/>
    <w:qFormat/>
    <w:rsid w:val="00FD69B4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unhideWhenUsed/>
    <w:qFormat/>
    <w:rsid w:val="00FD69B4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FD69B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69B4"/>
  </w:style>
  <w:style w:type="paragraph" w:styleId="Obsah3">
    <w:name w:val="toc 3"/>
    <w:basedOn w:val="Normln"/>
    <w:next w:val="Normln"/>
    <w:autoRedefine/>
    <w:uiPriority w:val="39"/>
    <w:unhideWhenUsed/>
    <w:rsid w:val="00B32BF8"/>
    <w:pPr>
      <w:spacing w:after="100"/>
      <w:ind w:left="400"/>
    </w:pPr>
  </w:style>
  <w:style w:type="paragraph" w:styleId="Obsah1">
    <w:name w:val="toc 1"/>
    <w:basedOn w:val="Normln"/>
    <w:next w:val="Normln"/>
    <w:autoRedefine/>
    <w:uiPriority w:val="39"/>
    <w:unhideWhenUsed/>
    <w:rsid w:val="00DE37AC"/>
    <w:pPr>
      <w:tabs>
        <w:tab w:val="right" w:leader="dot" w:pos="9062"/>
      </w:tabs>
      <w:spacing w:after="100"/>
    </w:pPr>
  </w:style>
  <w:style w:type="character" w:customStyle="1" w:styleId="Other">
    <w:name w:val="Other_"/>
    <w:basedOn w:val="Standardnpsmoodstavce"/>
    <w:link w:val="Other0"/>
    <w:rsid w:val="0066389F"/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ln"/>
    <w:link w:val="Other"/>
    <w:rsid w:val="0066389F"/>
    <w:pPr>
      <w:widowControl w:val="0"/>
      <w:spacing w:before="0" w:after="100" w:line="288" w:lineRule="auto"/>
    </w:pPr>
    <w:rPr>
      <w:rFonts w:ascii="Times New Roman" w:eastAsia="Times New Roman" w:hAnsi="Times New Roman" w:cs="Times New Roman"/>
    </w:rPr>
  </w:style>
  <w:style w:type="table" w:styleId="Tmavtabulkasmkou5zvraznn1">
    <w:name w:val="Grid Table 5 Dark Accent 1"/>
    <w:basedOn w:val="Normlntabulka"/>
    <w:uiPriority w:val="50"/>
    <w:rsid w:val="0066389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customStyle="1" w:styleId="ZkladntextChar">
    <w:name w:val="Základní text Char"/>
    <w:basedOn w:val="Standardnpsmoodstavce"/>
    <w:link w:val="Zkladntext"/>
    <w:rsid w:val="0054245A"/>
    <w:rPr>
      <w:rFonts w:ascii="Times New Roman" w:eastAsia="Times New Roman" w:hAnsi="Times New Roman" w:cs="Times New Roman"/>
    </w:rPr>
  </w:style>
  <w:style w:type="paragraph" w:styleId="Zkladntext">
    <w:name w:val="Body Text"/>
    <w:basedOn w:val="Normln"/>
    <w:link w:val="ZkladntextChar"/>
    <w:qFormat/>
    <w:rsid w:val="0054245A"/>
    <w:pPr>
      <w:widowControl w:val="0"/>
      <w:spacing w:before="0" w:after="100" w:line="288" w:lineRule="auto"/>
    </w:pPr>
    <w:rPr>
      <w:rFonts w:ascii="Times New Roman" w:eastAsia="Times New Roman" w:hAnsi="Times New Roman" w:cs="Times New Roman"/>
    </w:rPr>
  </w:style>
  <w:style w:type="character" w:customStyle="1" w:styleId="ZkladntextChar1">
    <w:name w:val="Základní text Char1"/>
    <w:basedOn w:val="Standardnpsmoodstavce"/>
    <w:uiPriority w:val="99"/>
    <w:semiHidden/>
    <w:rsid w:val="0054245A"/>
  </w:style>
  <w:style w:type="character" w:customStyle="1" w:styleId="Tablecaption">
    <w:name w:val="Table caption_"/>
    <w:basedOn w:val="Standardnpsmoodstavce"/>
    <w:link w:val="Tablecaption0"/>
    <w:rsid w:val="00F15C4B"/>
    <w:rPr>
      <w:rFonts w:ascii="Times New Roman" w:eastAsia="Times New Roman" w:hAnsi="Times New Roman" w:cs="Times New Roman"/>
      <w:i/>
      <w:iCs/>
      <w:color w:val="1F497D"/>
      <w:sz w:val="18"/>
      <w:szCs w:val="18"/>
    </w:rPr>
  </w:style>
  <w:style w:type="paragraph" w:customStyle="1" w:styleId="Tablecaption0">
    <w:name w:val="Table caption"/>
    <w:basedOn w:val="Normln"/>
    <w:link w:val="Tablecaption"/>
    <w:rsid w:val="00F15C4B"/>
    <w:pPr>
      <w:widowControl w:val="0"/>
      <w:spacing w:before="0" w:after="0" w:line="240" w:lineRule="auto"/>
    </w:pPr>
    <w:rPr>
      <w:rFonts w:ascii="Times New Roman" w:eastAsia="Times New Roman" w:hAnsi="Times New Roman" w:cs="Times New Roman"/>
      <w:i/>
      <w:iCs/>
      <w:color w:val="1F497D"/>
      <w:sz w:val="18"/>
      <w:szCs w:val="18"/>
    </w:rPr>
  </w:style>
  <w:style w:type="character" w:customStyle="1" w:styleId="OdstavecseseznamemChar">
    <w:name w:val="Odstavec se seznamem Char"/>
    <w:aliases w:val="Dot pt Char,F5 List Paragraph Char,List Paragraph1 Char,Recommendation Char,List Paragraph11 Char,Kolorowa lista — akcent 11 Char,Akapit z listą1 Char,Numerowanie Char,Listaszerű bekezdés1 Char,List Paragraph à moi Char,2 Char"/>
    <w:link w:val="Odstavecseseznamem"/>
    <w:uiPriority w:val="34"/>
    <w:locked/>
    <w:rsid w:val="0072475D"/>
  </w:style>
  <w:style w:type="paragraph" w:styleId="Revize">
    <w:name w:val="Revision"/>
    <w:hidden/>
    <w:uiPriority w:val="99"/>
    <w:semiHidden/>
    <w:rsid w:val="00A114BA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hyperlink" Target="mailto:vakcinacnistrategie@mzcr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openxmlformats.org/officeDocument/2006/relationships/theme" Target="theme/theme1.xml"/><Relationship Id="rId10" Type="http://schemas.openxmlformats.org/officeDocument/2006/relationships/diagramLayout" Target="diagrams/layout1.xml"/><Relationship Id="rId19" Type="http://schemas.openxmlformats.org/officeDocument/2006/relationships/hyperlink" Target="mailto:farmakovigilance@sukl.cz" TargetMode="Externa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A209408-02D8-4751-B940-72FEC502E264}" type="doc">
      <dgm:prSet loTypeId="urn:microsoft.com/office/officeart/2005/8/layout/hProcess11" loCatId="process" qsTypeId="urn:microsoft.com/office/officeart/2005/8/quickstyle/simple3" qsCatId="simple" csTypeId="urn:microsoft.com/office/officeart/2005/8/colors/accent1_2" csCatId="accent1" phldr="1"/>
      <dgm:spPr/>
    </dgm:pt>
    <dgm:pt modelId="{3768BC91-F411-4D04-BC08-5B82B83AB323}">
      <dgm:prSet phldrT="[Text]"/>
      <dgm:spPr/>
      <dgm:t>
        <a:bodyPr/>
        <a:lstStyle/>
        <a:p>
          <a:r>
            <a:rPr lang="cs-CZ"/>
            <a:t>výzkumná fáze</a:t>
          </a:r>
        </a:p>
        <a:p>
          <a:r>
            <a:rPr lang="cs-CZ"/>
            <a:t>cíl: identifikace kandidátních vakcín</a:t>
          </a:r>
        </a:p>
      </dgm:t>
    </dgm:pt>
    <dgm:pt modelId="{EA670E9F-62A1-4148-88D1-39371B263123}" type="parTrans" cxnId="{1DB5232F-F5FF-40B9-AD18-EEC630C757A6}">
      <dgm:prSet/>
      <dgm:spPr/>
      <dgm:t>
        <a:bodyPr/>
        <a:lstStyle/>
        <a:p>
          <a:endParaRPr lang="cs-CZ"/>
        </a:p>
      </dgm:t>
    </dgm:pt>
    <dgm:pt modelId="{51DFC524-05A0-44D9-A2B2-E2F4D9C3B1A7}" type="sibTrans" cxnId="{1DB5232F-F5FF-40B9-AD18-EEC630C757A6}">
      <dgm:prSet/>
      <dgm:spPr/>
      <dgm:t>
        <a:bodyPr/>
        <a:lstStyle/>
        <a:p>
          <a:endParaRPr lang="cs-CZ"/>
        </a:p>
      </dgm:t>
    </dgm:pt>
    <dgm:pt modelId="{C51DE4CD-2916-4F93-BF67-C47D26CD6DDC}">
      <dgm:prSet phldrT="[Text]"/>
      <dgm:spPr/>
      <dgm:t>
        <a:bodyPr/>
        <a:lstStyle/>
        <a:p>
          <a:r>
            <a:rPr lang="cs-CZ"/>
            <a:t>pre-klinická fáze </a:t>
          </a:r>
        </a:p>
        <a:p>
          <a:r>
            <a:rPr lang="cs-CZ"/>
            <a:t>cíl: identifikce bezpečných kandidátních vakcín, výroba dle GMP</a:t>
          </a:r>
        </a:p>
      </dgm:t>
    </dgm:pt>
    <dgm:pt modelId="{FF939B09-5551-4DCB-9358-69E9BFD32920}" type="parTrans" cxnId="{10D59FB1-9B07-45A1-967B-15207E6853C8}">
      <dgm:prSet/>
      <dgm:spPr/>
      <dgm:t>
        <a:bodyPr/>
        <a:lstStyle/>
        <a:p>
          <a:endParaRPr lang="cs-CZ"/>
        </a:p>
      </dgm:t>
    </dgm:pt>
    <dgm:pt modelId="{139B614D-3AB7-4D36-84FA-0C9F1FC206C2}" type="sibTrans" cxnId="{10D59FB1-9B07-45A1-967B-15207E6853C8}">
      <dgm:prSet/>
      <dgm:spPr/>
      <dgm:t>
        <a:bodyPr/>
        <a:lstStyle/>
        <a:p>
          <a:endParaRPr lang="cs-CZ"/>
        </a:p>
      </dgm:t>
    </dgm:pt>
    <dgm:pt modelId="{F692772C-8EF8-4E57-839F-5EBB5AD7483A}">
      <dgm:prSet phldrT="[Text]"/>
      <dgm:spPr/>
      <dgm:t>
        <a:bodyPr/>
        <a:lstStyle/>
        <a:p>
          <a:r>
            <a:rPr lang="cs-CZ"/>
            <a:t>1.klinická fáze</a:t>
          </a:r>
        </a:p>
        <a:p>
          <a:r>
            <a:rPr lang="cs-CZ"/>
            <a:t>cíl: bezpečnost, snášenlivost</a:t>
          </a:r>
        </a:p>
      </dgm:t>
    </dgm:pt>
    <dgm:pt modelId="{DD033201-5AE9-450A-B42E-F128F9A2CDC5}" type="parTrans" cxnId="{A5F751F8-CC8D-48EA-B85B-0FD6C9834324}">
      <dgm:prSet/>
      <dgm:spPr/>
      <dgm:t>
        <a:bodyPr/>
        <a:lstStyle/>
        <a:p>
          <a:endParaRPr lang="cs-CZ"/>
        </a:p>
      </dgm:t>
    </dgm:pt>
    <dgm:pt modelId="{09A67495-E368-46A3-AC05-D0E11190851F}" type="sibTrans" cxnId="{A5F751F8-CC8D-48EA-B85B-0FD6C9834324}">
      <dgm:prSet/>
      <dgm:spPr/>
      <dgm:t>
        <a:bodyPr/>
        <a:lstStyle/>
        <a:p>
          <a:endParaRPr lang="cs-CZ"/>
        </a:p>
      </dgm:t>
    </dgm:pt>
    <dgm:pt modelId="{53E44523-FB8B-4D40-8DC3-280689AD9EC0}">
      <dgm:prSet phldrT="[Text]"/>
      <dgm:spPr/>
      <dgm:t>
        <a:bodyPr/>
        <a:lstStyle/>
        <a:p>
          <a:r>
            <a:rPr lang="cs-CZ"/>
            <a:t>2.klinická fáze</a:t>
          </a:r>
        </a:p>
        <a:p>
          <a:r>
            <a:rPr lang="cs-CZ"/>
            <a:t>cíl: optimalizace dávkování</a:t>
          </a:r>
        </a:p>
      </dgm:t>
    </dgm:pt>
    <dgm:pt modelId="{D8E7F0DB-708E-4FD5-97D4-8AA5B34206C2}" type="parTrans" cxnId="{80854462-43C9-43C0-87E1-684C31505AFF}">
      <dgm:prSet/>
      <dgm:spPr/>
      <dgm:t>
        <a:bodyPr/>
        <a:lstStyle/>
        <a:p>
          <a:endParaRPr lang="cs-CZ"/>
        </a:p>
      </dgm:t>
    </dgm:pt>
    <dgm:pt modelId="{49072D14-2521-4362-A5F6-F6A84BDD04B3}" type="sibTrans" cxnId="{80854462-43C9-43C0-87E1-684C31505AFF}">
      <dgm:prSet/>
      <dgm:spPr/>
      <dgm:t>
        <a:bodyPr/>
        <a:lstStyle/>
        <a:p>
          <a:endParaRPr lang="cs-CZ"/>
        </a:p>
      </dgm:t>
    </dgm:pt>
    <dgm:pt modelId="{FD070FBC-E470-4294-B7CC-46A78FD7D4B1}">
      <dgm:prSet phldrT="[Text]"/>
      <dgm:spPr/>
      <dgm:t>
        <a:bodyPr/>
        <a:lstStyle/>
        <a:p>
          <a:r>
            <a:rPr lang="cs-CZ"/>
            <a:t>3.klinická fáze</a:t>
          </a:r>
        </a:p>
        <a:p>
          <a:r>
            <a:rPr lang="cs-CZ"/>
            <a:t>cíl: důkaz bezpečnosti a efektivity</a:t>
          </a:r>
        </a:p>
      </dgm:t>
    </dgm:pt>
    <dgm:pt modelId="{4688F746-4D6C-49F6-9103-651A92F70886}" type="parTrans" cxnId="{3F2B5E39-1572-4A1F-958D-CCD0FA121B61}">
      <dgm:prSet/>
      <dgm:spPr/>
      <dgm:t>
        <a:bodyPr/>
        <a:lstStyle/>
        <a:p>
          <a:endParaRPr lang="cs-CZ"/>
        </a:p>
      </dgm:t>
    </dgm:pt>
    <dgm:pt modelId="{21A686E8-B2C8-4F3F-9FA1-CF30BAA9861D}" type="sibTrans" cxnId="{3F2B5E39-1572-4A1F-958D-CCD0FA121B61}">
      <dgm:prSet/>
      <dgm:spPr/>
      <dgm:t>
        <a:bodyPr/>
        <a:lstStyle/>
        <a:p>
          <a:endParaRPr lang="cs-CZ"/>
        </a:p>
      </dgm:t>
    </dgm:pt>
    <dgm:pt modelId="{128F0327-518A-4CC2-A937-FB850767D493}">
      <dgm:prSet phldrT="[Text]"/>
      <dgm:spPr/>
      <dgm:t>
        <a:bodyPr/>
        <a:lstStyle/>
        <a:p>
          <a:r>
            <a:rPr lang="cs-CZ"/>
            <a:t>registrace -marketingová autorizace</a:t>
          </a:r>
        </a:p>
      </dgm:t>
    </dgm:pt>
    <dgm:pt modelId="{233352A6-5FEA-450D-BEBD-B80E4A642CA4}" type="parTrans" cxnId="{100C3F64-65EC-498F-B168-88CC3899E09E}">
      <dgm:prSet/>
      <dgm:spPr/>
      <dgm:t>
        <a:bodyPr/>
        <a:lstStyle/>
        <a:p>
          <a:endParaRPr lang="cs-CZ"/>
        </a:p>
      </dgm:t>
    </dgm:pt>
    <dgm:pt modelId="{43630766-15C4-495D-8C3C-EC60E13D03DE}" type="sibTrans" cxnId="{100C3F64-65EC-498F-B168-88CC3899E09E}">
      <dgm:prSet/>
      <dgm:spPr/>
      <dgm:t>
        <a:bodyPr/>
        <a:lstStyle/>
        <a:p>
          <a:endParaRPr lang="cs-CZ"/>
        </a:p>
      </dgm:t>
    </dgm:pt>
    <dgm:pt modelId="{7B0D43F7-903C-435B-BAD4-AA51EBD81BD8}" type="pres">
      <dgm:prSet presAssocID="{0A209408-02D8-4751-B940-72FEC502E264}" presName="Name0" presStyleCnt="0">
        <dgm:presLayoutVars>
          <dgm:dir/>
          <dgm:resizeHandles val="exact"/>
        </dgm:presLayoutVars>
      </dgm:prSet>
      <dgm:spPr/>
    </dgm:pt>
    <dgm:pt modelId="{7F35740C-0694-4AA7-9B58-D5CDF731BEB5}" type="pres">
      <dgm:prSet presAssocID="{0A209408-02D8-4751-B940-72FEC502E264}" presName="arrow" presStyleLbl="bgShp" presStyleIdx="0" presStyleCnt="1"/>
      <dgm:spPr/>
    </dgm:pt>
    <dgm:pt modelId="{6F9048E9-0925-4AFD-A883-A21CF7620039}" type="pres">
      <dgm:prSet presAssocID="{0A209408-02D8-4751-B940-72FEC502E264}" presName="points" presStyleCnt="0"/>
      <dgm:spPr/>
    </dgm:pt>
    <dgm:pt modelId="{402A1061-5632-4669-9147-87086FFC6A1D}" type="pres">
      <dgm:prSet presAssocID="{3768BC91-F411-4D04-BC08-5B82B83AB323}" presName="compositeA" presStyleCnt="0"/>
      <dgm:spPr/>
    </dgm:pt>
    <dgm:pt modelId="{10CA78C8-5AB0-4B24-B00F-DD0D586C6017}" type="pres">
      <dgm:prSet presAssocID="{3768BC91-F411-4D04-BC08-5B82B83AB323}" presName="textA" presStyleLbl="revTx" presStyleIdx="0" presStyleCnt="6">
        <dgm:presLayoutVars>
          <dgm:bulletEnabled val="1"/>
        </dgm:presLayoutVars>
      </dgm:prSet>
      <dgm:spPr/>
    </dgm:pt>
    <dgm:pt modelId="{04207E25-AC6D-4340-85A1-5A6626995E0D}" type="pres">
      <dgm:prSet presAssocID="{3768BC91-F411-4D04-BC08-5B82B83AB323}" presName="circleA" presStyleLbl="node1" presStyleIdx="0" presStyleCnt="6"/>
      <dgm:spPr/>
    </dgm:pt>
    <dgm:pt modelId="{901883D1-B1FD-4D36-85A7-0ED8F711836C}" type="pres">
      <dgm:prSet presAssocID="{3768BC91-F411-4D04-BC08-5B82B83AB323}" presName="spaceA" presStyleCnt="0"/>
      <dgm:spPr/>
    </dgm:pt>
    <dgm:pt modelId="{3D899828-755E-487F-A205-0F36155A3CC8}" type="pres">
      <dgm:prSet presAssocID="{51DFC524-05A0-44D9-A2B2-E2F4D9C3B1A7}" presName="space" presStyleCnt="0"/>
      <dgm:spPr/>
    </dgm:pt>
    <dgm:pt modelId="{41780C01-6116-45DB-B1B7-577FB0AB3862}" type="pres">
      <dgm:prSet presAssocID="{C51DE4CD-2916-4F93-BF67-C47D26CD6DDC}" presName="compositeB" presStyleCnt="0"/>
      <dgm:spPr/>
    </dgm:pt>
    <dgm:pt modelId="{BF8EA136-A892-4733-9B88-6297695999F6}" type="pres">
      <dgm:prSet presAssocID="{C51DE4CD-2916-4F93-BF67-C47D26CD6DDC}" presName="textB" presStyleLbl="revTx" presStyleIdx="1" presStyleCnt="6">
        <dgm:presLayoutVars>
          <dgm:bulletEnabled val="1"/>
        </dgm:presLayoutVars>
      </dgm:prSet>
      <dgm:spPr/>
    </dgm:pt>
    <dgm:pt modelId="{C94D4AF3-0AEF-4813-BCD4-C21CF0585A65}" type="pres">
      <dgm:prSet presAssocID="{C51DE4CD-2916-4F93-BF67-C47D26CD6DDC}" presName="circleB" presStyleLbl="node1" presStyleIdx="1" presStyleCnt="6"/>
      <dgm:spPr/>
    </dgm:pt>
    <dgm:pt modelId="{6008EC92-1584-428F-955B-0507C0E78689}" type="pres">
      <dgm:prSet presAssocID="{C51DE4CD-2916-4F93-BF67-C47D26CD6DDC}" presName="spaceB" presStyleCnt="0"/>
      <dgm:spPr/>
    </dgm:pt>
    <dgm:pt modelId="{1A853166-64BF-41BE-BF19-93473E19438E}" type="pres">
      <dgm:prSet presAssocID="{139B614D-3AB7-4D36-84FA-0C9F1FC206C2}" presName="space" presStyleCnt="0"/>
      <dgm:spPr/>
    </dgm:pt>
    <dgm:pt modelId="{085A60EC-DF5D-46D3-959B-4B4496491BDD}" type="pres">
      <dgm:prSet presAssocID="{F692772C-8EF8-4E57-839F-5EBB5AD7483A}" presName="compositeA" presStyleCnt="0"/>
      <dgm:spPr/>
    </dgm:pt>
    <dgm:pt modelId="{C4A99A18-C62B-49E7-8CA5-156014C56ECF}" type="pres">
      <dgm:prSet presAssocID="{F692772C-8EF8-4E57-839F-5EBB5AD7483A}" presName="textA" presStyleLbl="revTx" presStyleIdx="2" presStyleCnt="6">
        <dgm:presLayoutVars>
          <dgm:bulletEnabled val="1"/>
        </dgm:presLayoutVars>
      </dgm:prSet>
      <dgm:spPr/>
    </dgm:pt>
    <dgm:pt modelId="{1FB99993-B37C-421F-AEBC-FDCFCA20FDEC}" type="pres">
      <dgm:prSet presAssocID="{F692772C-8EF8-4E57-839F-5EBB5AD7483A}" presName="circleA" presStyleLbl="node1" presStyleIdx="2" presStyleCnt="6"/>
      <dgm:spPr/>
    </dgm:pt>
    <dgm:pt modelId="{5774CE47-52FD-482E-B6DC-3DFD11CF8E64}" type="pres">
      <dgm:prSet presAssocID="{F692772C-8EF8-4E57-839F-5EBB5AD7483A}" presName="spaceA" presStyleCnt="0"/>
      <dgm:spPr/>
    </dgm:pt>
    <dgm:pt modelId="{62784B0D-F5C7-41B4-A85E-B4A8F6D20262}" type="pres">
      <dgm:prSet presAssocID="{09A67495-E368-46A3-AC05-D0E11190851F}" presName="space" presStyleCnt="0"/>
      <dgm:spPr/>
    </dgm:pt>
    <dgm:pt modelId="{EC489EC8-CF44-4157-883E-9541FA15DEA7}" type="pres">
      <dgm:prSet presAssocID="{53E44523-FB8B-4D40-8DC3-280689AD9EC0}" presName="compositeB" presStyleCnt="0"/>
      <dgm:spPr/>
    </dgm:pt>
    <dgm:pt modelId="{FEE02135-FD47-458A-8273-3FDB3FD67D69}" type="pres">
      <dgm:prSet presAssocID="{53E44523-FB8B-4D40-8DC3-280689AD9EC0}" presName="textB" presStyleLbl="revTx" presStyleIdx="3" presStyleCnt="6">
        <dgm:presLayoutVars>
          <dgm:bulletEnabled val="1"/>
        </dgm:presLayoutVars>
      </dgm:prSet>
      <dgm:spPr/>
    </dgm:pt>
    <dgm:pt modelId="{50AC7BF1-BB47-4FDB-909B-EAC573876506}" type="pres">
      <dgm:prSet presAssocID="{53E44523-FB8B-4D40-8DC3-280689AD9EC0}" presName="circleB" presStyleLbl="node1" presStyleIdx="3" presStyleCnt="6"/>
      <dgm:spPr/>
    </dgm:pt>
    <dgm:pt modelId="{A08EF260-32AB-42F5-B13E-7EC92BD5DA69}" type="pres">
      <dgm:prSet presAssocID="{53E44523-FB8B-4D40-8DC3-280689AD9EC0}" presName="spaceB" presStyleCnt="0"/>
      <dgm:spPr/>
    </dgm:pt>
    <dgm:pt modelId="{BDB3E5E8-4C17-4698-BCF2-D8E991F3BCA8}" type="pres">
      <dgm:prSet presAssocID="{49072D14-2521-4362-A5F6-F6A84BDD04B3}" presName="space" presStyleCnt="0"/>
      <dgm:spPr/>
    </dgm:pt>
    <dgm:pt modelId="{8AC4CA05-DBEF-46B2-826B-3EDCD55D1AD2}" type="pres">
      <dgm:prSet presAssocID="{FD070FBC-E470-4294-B7CC-46A78FD7D4B1}" presName="compositeA" presStyleCnt="0"/>
      <dgm:spPr/>
    </dgm:pt>
    <dgm:pt modelId="{CFBEA8CD-4886-4259-BA92-51649E6DFFDE}" type="pres">
      <dgm:prSet presAssocID="{FD070FBC-E470-4294-B7CC-46A78FD7D4B1}" presName="textA" presStyleLbl="revTx" presStyleIdx="4" presStyleCnt="6">
        <dgm:presLayoutVars>
          <dgm:bulletEnabled val="1"/>
        </dgm:presLayoutVars>
      </dgm:prSet>
      <dgm:spPr/>
    </dgm:pt>
    <dgm:pt modelId="{05290838-2918-4CF7-AA69-28185B2BA930}" type="pres">
      <dgm:prSet presAssocID="{FD070FBC-E470-4294-B7CC-46A78FD7D4B1}" presName="circleA" presStyleLbl="node1" presStyleIdx="4" presStyleCnt="6"/>
      <dgm:spPr/>
    </dgm:pt>
    <dgm:pt modelId="{C0B1C676-28D5-4E20-91A3-D04F1E765F55}" type="pres">
      <dgm:prSet presAssocID="{FD070FBC-E470-4294-B7CC-46A78FD7D4B1}" presName="spaceA" presStyleCnt="0"/>
      <dgm:spPr/>
    </dgm:pt>
    <dgm:pt modelId="{11A36C01-3BBC-45CE-A194-76557717912D}" type="pres">
      <dgm:prSet presAssocID="{21A686E8-B2C8-4F3F-9FA1-CF30BAA9861D}" presName="space" presStyleCnt="0"/>
      <dgm:spPr/>
    </dgm:pt>
    <dgm:pt modelId="{5D57488F-418E-4D6A-953C-63A0D6DDA338}" type="pres">
      <dgm:prSet presAssocID="{128F0327-518A-4CC2-A937-FB850767D493}" presName="compositeB" presStyleCnt="0"/>
      <dgm:spPr/>
    </dgm:pt>
    <dgm:pt modelId="{7505CE39-F3F8-4878-8E39-AC2548E177CB}" type="pres">
      <dgm:prSet presAssocID="{128F0327-518A-4CC2-A937-FB850767D493}" presName="textB" presStyleLbl="revTx" presStyleIdx="5" presStyleCnt="6">
        <dgm:presLayoutVars>
          <dgm:bulletEnabled val="1"/>
        </dgm:presLayoutVars>
      </dgm:prSet>
      <dgm:spPr/>
    </dgm:pt>
    <dgm:pt modelId="{F327870D-3D1A-4036-995A-9EF06CFEE45E}" type="pres">
      <dgm:prSet presAssocID="{128F0327-518A-4CC2-A937-FB850767D493}" presName="circleB" presStyleLbl="node1" presStyleIdx="5" presStyleCnt="6"/>
      <dgm:spPr/>
    </dgm:pt>
    <dgm:pt modelId="{D5202AE7-BB29-4336-AC76-ABA64D77F4D8}" type="pres">
      <dgm:prSet presAssocID="{128F0327-518A-4CC2-A937-FB850767D493}" presName="spaceB" presStyleCnt="0"/>
      <dgm:spPr/>
    </dgm:pt>
  </dgm:ptLst>
  <dgm:cxnLst>
    <dgm:cxn modelId="{D2AFAF00-B532-49CA-80CD-E5155B51C6AA}" type="presOf" srcId="{C51DE4CD-2916-4F93-BF67-C47D26CD6DDC}" destId="{BF8EA136-A892-4733-9B88-6297695999F6}" srcOrd="0" destOrd="0" presId="urn:microsoft.com/office/officeart/2005/8/layout/hProcess11"/>
    <dgm:cxn modelId="{F33C371A-A3AB-4780-8CF6-84C4F2A5E6B0}" type="presOf" srcId="{F692772C-8EF8-4E57-839F-5EBB5AD7483A}" destId="{C4A99A18-C62B-49E7-8CA5-156014C56ECF}" srcOrd="0" destOrd="0" presId="urn:microsoft.com/office/officeart/2005/8/layout/hProcess11"/>
    <dgm:cxn modelId="{1DB5232F-F5FF-40B9-AD18-EEC630C757A6}" srcId="{0A209408-02D8-4751-B940-72FEC502E264}" destId="{3768BC91-F411-4D04-BC08-5B82B83AB323}" srcOrd="0" destOrd="0" parTransId="{EA670E9F-62A1-4148-88D1-39371B263123}" sibTransId="{51DFC524-05A0-44D9-A2B2-E2F4D9C3B1A7}"/>
    <dgm:cxn modelId="{C8966A36-B1C0-40A4-9491-3E054C50EE6E}" type="presOf" srcId="{128F0327-518A-4CC2-A937-FB850767D493}" destId="{7505CE39-F3F8-4878-8E39-AC2548E177CB}" srcOrd="0" destOrd="0" presId="urn:microsoft.com/office/officeart/2005/8/layout/hProcess11"/>
    <dgm:cxn modelId="{3F2B5E39-1572-4A1F-958D-CCD0FA121B61}" srcId="{0A209408-02D8-4751-B940-72FEC502E264}" destId="{FD070FBC-E470-4294-B7CC-46A78FD7D4B1}" srcOrd="4" destOrd="0" parTransId="{4688F746-4D6C-49F6-9103-651A92F70886}" sibTransId="{21A686E8-B2C8-4F3F-9FA1-CF30BAA9861D}"/>
    <dgm:cxn modelId="{80854462-43C9-43C0-87E1-684C31505AFF}" srcId="{0A209408-02D8-4751-B940-72FEC502E264}" destId="{53E44523-FB8B-4D40-8DC3-280689AD9EC0}" srcOrd="3" destOrd="0" parTransId="{D8E7F0DB-708E-4FD5-97D4-8AA5B34206C2}" sibTransId="{49072D14-2521-4362-A5F6-F6A84BDD04B3}"/>
    <dgm:cxn modelId="{100C3F64-65EC-498F-B168-88CC3899E09E}" srcId="{0A209408-02D8-4751-B940-72FEC502E264}" destId="{128F0327-518A-4CC2-A937-FB850767D493}" srcOrd="5" destOrd="0" parTransId="{233352A6-5FEA-450D-BEBD-B80E4A642CA4}" sibTransId="{43630766-15C4-495D-8C3C-EC60E13D03DE}"/>
    <dgm:cxn modelId="{2D374670-A4A4-4BB2-A48C-1E40F3F40775}" type="presOf" srcId="{53E44523-FB8B-4D40-8DC3-280689AD9EC0}" destId="{FEE02135-FD47-458A-8273-3FDB3FD67D69}" srcOrd="0" destOrd="0" presId="urn:microsoft.com/office/officeart/2005/8/layout/hProcess11"/>
    <dgm:cxn modelId="{89F6D094-C811-4EE4-9097-6044B73F3DA5}" type="presOf" srcId="{3768BC91-F411-4D04-BC08-5B82B83AB323}" destId="{10CA78C8-5AB0-4B24-B00F-DD0D586C6017}" srcOrd="0" destOrd="0" presId="urn:microsoft.com/office/officeart/2005/8/layout/hProcess11"/>
    <dgm:cxn modelId="{1E68F79A-97F1-40FE-82E7-DD9EF7CF8775}" type="presOf" srcId="{0A209408-02D8-4751-B940-72FEC502E264}" destId="{7B0D43F7-903C-435B-BAD4-AA51EBD81BD8}" srcOrd="0" destOrd="0" presId="urn:microsoft.com/office/officeart/2005/8/layout/hProcess11"/>
    <dgm:cxn modelId="{10D59FB1-9B07-45A1-967B-15207E6853C8}" srcId="{0A209408-02D8-4751-B940-72FEC502E264}" destId="{C51DE4CD-2916-4F93-BF67-C47D26CD6DDC}" srcOrd="1" destOrd="0" parTransId="{FF939B09-5551-4DCB-9358-69E9BFD32920}" sibTransId="{139B614D-3AB7-4D36-84FA-0C9F1FC206C2}"/>
    <dgm:cxn modelId="{C99490B2-2304-425F-9AA1-3459B18A86B5}" type="presOf" srcId="{FD070FBC-E470-4294-B7CC-46A78FD7D4B1}" destId="{CFBEA8CD-4886-4259-BA92-51649E6DFFDE}" srcOrd="0" destOrd="0" presId="urn:microsoft.com/office/officeart/2005/8/layout/hProcess11"/>
    <dgm:cxn modelId="{A5F751F8-CC8D-48EA-B85B-0FD6C9834324}" srcId="{0A209408-02D8-4751-B940-72FEC502E264}" destId="{F692772C-8EF8-4E57-839F-5EBB5AD7483A}" srcOrd="2" destOrd="0" parTransId="{DD033201-5AE9-450A-B42E-F128F9A2CDC5}" sibTransId="{09A67495-E368-46A3-AC05-D0E11190851F}"/>
    <dgm:cxn modelId="{9FFEF3E8-3A0F-462C-A0FD-C34088B4E0CB}" type="presParOf" srcId="{7B0D43F7-903C-435B-BAD4-AA51EBD81BD8}" destId="{7F35740C-0694-4AA7-9B58-D5CDF731BEB5}" srcOrd="0" destOrd="0" presId="urn:microsoft.com/office/officeart/2005/8/layout/hProcess11"/>
    <dgm:cxn modelId="{9505AEDE-8C4A-4D0D-9C16-2F30677497C6}" type="presParOf" srcId="{7B0D43F7-903C-435B-BAD4-AA51EBD81BD8}" destId="{6F9048E9-0925-4AFD-A883-A21CF7620039}" srcOrd="1" destOrd="0" presId="urn:microsoft.com/office/officeart/2005/8/layout/hProcess11"/>
    <dgm:cxn modelId="{84500B30-C102-4DD8-A93F-7339299DC243}" type="presParOf" srcId="{6F9048E9-0925-4AFD-A883-A21CF7620039}" destId="{402A1061-5632-4669-9147-87086FFC6A1D}" srcOrd="0" destOrd="0" presId="urn:microsoft.com/office/officeart/2005/8/layout/hProcess11"/>
    <dgm:cxn modelId="{296DD001-41CE-41D5-A4CA-167BB6FD1A31}" type="presParOf" srcId="{402A1061-5632-4669-9147-87086FFC6A1D}" destId="{10CA78C8-5AB0-4B24-B00F-DD0D586C6017}" srcOrd="0" destOrd="0" presId="urn:microsoft.com/office/officeart/2005/8/layout/hProcess11"/>
    <dgm:cxn modelId="{A247F2C4-263A-4702-A2B7-97D78AA6B141}" type="presParOf" srcId="{402A1061-5632-4669-9147-87086FFC6A1D}" destId="{04207E25-AC6D-4340-85A1-5A6626995E0D}" srcOrd="1" destOrd="0" presId="urn:microsoft.com/office/officeart/2005/8/layout/hProcess11"/>
    <dgm:cxn modelId="{503ADC59-0B22-46E2-A793-124605DAA11D}" type="presParOf" srcId="{402A1061-5632-4669-9147-87086FFC6A1D}" destId="{901883D1-B1FD-4D36-85A7-0ED8F711836C}" srcOrd="2" destOrd="0" presId="urn:microsoft.com/office/officeart/2005/8/layout/hProcess11"/>
    <dgm:cxn modelId="{11E10F61-413C-47F3-9099-D6A99E20C41E}" type="presParOf" srcId="{6F9048E9-0925-4AFD-A883-A21CF7620039}" destId="{3D899828-755E-487F-A205-0F36155A3CC8}" srcOrd="1" destOrd="0" presId="urn:microsoft.com/office/officeart/2005/8/layout/hProcess11"/>
    <dgm:cxn modelId="{35BE7283-FF44-41A1-81B4-1429613BE402}" type="presParOf" srcId="{6F9048E9-0925-4AFD-A883-A21CF7620039}" destId="{41780C01-6116-45DB-B1B7-577FB0AB3862}" srcOrd="2" destOrd="0" presId="urn:microsoft.com/office/officeart/2005/8/layout/hProcess11"/>
    <dgm:cxn modelId="{FB3F0345-57E1-4B63-BBCA-DCDD47284C5F}" type="presParOf" srcId="{41780C01-6116-45DB-B1B7-577FB0AB3862}" destId="{BF8EA136-A892-4733-9B88-6297695999F6}" srcOrd="0" destOrd="0" presId="urn:microsoft.com/office/officeart/2005/8/layout/hProcess11"/>
    <dgm:cxn modelId="{A2D91F79-E00A-42F7-A3F6-6B154B5F9CEE}" type="presParOf" srcId="{41780C01-6116-45DB-B1B7-577FB0AB3862}" destId="{C94D4AF3-0AEF-4813-BCD4-C21CF0585A65}" srcOrd="1" destOrd="0" presId="urn:microsoft.com/office/officeart/2005/8/layout/hProcess11"/>
    <dgm:cxn modelId="{07F37203-951B-457E-90C3-8749BB033BAB}" type="presParOf" srcId="{41780C01-6116-45DB-B1B7-577FB0AB3862}" destId="{6008EC92-1584-428F-955B-0507C0E78689}" srcOrd="2" destOrd="0" presId="urn:microsoft.com/office/officeart/2005/8/layout/hProcess11"/>
    <dgm:cxn modelId="{D2566310-41F3-4C7D-A73B-6E3B187ECFB8}" type="presParOf" srcId="{6F9048E9-0925-4AFD-A883-A21CF7620039}" destId="{1A853166-64BF-41BE-BF19-93473E19438E}" srcOrd="3" destOrd="0" presId="urn:microsoft.com/office/officeart/2005/8/layout/hProcess11"/>
    <dgm:cxn modelId="{876E57DA-798A-4601-BF67-1E9E5960481D}" type="presParOf" srcId="{6F9048E9-0925-4AFD-A883-A21CF7620039}" destId="{085A60EC-DF5D-46D3-959B-4B4496491BDD}" srcOrd="4" destOrd="0" presId="urn:microsoft.com/office/officeart/2005/8/layout/hProcess11"/>
    <dgm:cxn modelId="{497431E8-39E1-4FE5-9DEE-7533946017B6}" type="presParOf" srcId="{085A60EC-DF5D-46D3-959B-4B4496491BDD}" destId="{C4A99A18-C62B-49E7-8CA5-156014C56ECF}" srcOrd="0" destOrd="0" presId="urn:microsoft.com/office/officeart/2005/8/layout/hProcess11"/>
    <dgm:cxn modelId="{A8C62B82-2FC7-43DD-98F8-CB0B73C5F436}" type="presParOf" srcId="{085A60EC-DF5D-46D3-959B-4B4496491BDD}" destId="{1FB99993-B37C-421F-AEBC-FDCFCA20FDEC}" srcOrd="1" destOrd="0" presId="urn:microsoft.com/office/officeart/2005/8/layout/hProcess11"/>
    <dgm:cxn modelId="{5C427EEF-9F2F-40A2-B660-9CAC351B85E6}" type="presParOf" srcId="{085A60EC-DF5D-46D3-959B-4B4496491BDD}" destId="{5774CE47-52FD-482E-B6DC-3DFD11CF8E64}" srcOrd="2" destOrd="0" presId="urn:microsoft.com/office/officeart/2005/8/layout/hProcess11"/>
    <dgm:cxn modelId="{762621DF-48CA-4BC2-B27F-EE4549BB5E6F}" type="presParOf" srcId="{6F9048E9-0925-4AFD-A883-A21CF7620039}" destId="{62784B0D-F5C7-41B4-A85E-B4A8F6D20262}" srcOrd="5" destOrd="0" presId="urn:microsoft.com/office/officeart/2005/8/layout/hProcess11"/>
    <dgm:cxn modelId="{3A4E3367-D7F1-409B-B0F9-9900D85731ED}" type="presParOf" srcId="{6F9048E9-0925-4AFD-A883-A21CF7620039}" destId="{EC489EC8-CF44-4157-883E-9541FA15DEA7}" srcOrd="6" destOrd="0" presId="urn:microsoft.com/office/officeart/2005/8/layout/hProcess11"/>
    <dgm:cxn modelId="{EF6433EE-3516-4D8B-9B9D-DD7A89448FDC}" type="presParOf" srcId="{EC489EC8-CF44-4157-883E-9541FA15DEA7}" destId="{FEE02135-FD47-458A-8273-3FDB3FD67D69}" srcOrd="0" destOrd="0" presId="urn:microsoft.com/office/officeart/2005/8/layout/hProcess11"/>
    <dgm:cxn modelId="{38FC3CF7-BAE9-4C02-8AF7-9756643A8CBB}" type="presParOf" srcId="{EC489EC8-CF44-4157-883E-9541FA15DEA7}" destId="{50AC7BF1-BB47-4FDB-909B-EAC573876506}" srcOrd="1" destOrd="0" presId="urn:microsoft.com/office/officeart/2005/8/layout/hProcess11"/>
    <dgm:cxn modelId="{F6C65F1A-8368-4234-9FBE-CE9844D662B8}" type="presParOf" srcId="{EC489EC8-CF44-4157-883E-9541FA15DEA7}" destId="{A08EF260-32AB-42F5-B13E-7EC92BD5DA69}" srcOrd="2" destOrd="0" presId="urn:microsoft.com/office/officeart/2005/8/layout/hProcess11"/>
    <dgm:cxn modelId="{2F67A09C-594C-4A92-B672-C98239D87552}" type="presParOf" srcId="{6F9048E9-0925-4AFD-A883-A21CF7620039}" destId="{BDB3E5E8-4C17-4698-BCF2-D8E991F3BCA8}" srcOrd="7" destOrd="0" presId="urn:microsoft.com/office/officeart/2005/8/layout/hProcess11"/>
    <dgm:cxn modelId="{CC247835-A28C-4284-9D8B-C81E25E53140}" type="presParOf" srcId="{6F9048E9-0925-4AFD-A883-A21CF7620039}" destId="{8AC4CA05-DBEF-46B2-826B-3EDCD55D1AD2}" srcOrd="8" destOrd="0" presId="urn:microsoft.com/office/officeart/2005/8/layout/hProcess11"/>
    <dgm:cxn modelId="{73C1F58C-53DD-43D5-89A1-6333BA6359C8}" type="presParOf" srcId="{8AC4CA05-DBEF-46B2-826B-3EDCD55D1AD2}" destId="{CFBEA8CD-4886-4259-BA92-51649E6DFFDE}" srcOrd="0" destOrd="0" presId="urn:microsoft.com/office/officeart/2005/8/layout/hProcess11"/>
    <dgm:cxn modelId="{A09B71C7-2C23-40BD-9DF8-E7681A53C366}" type="presParOf" srcId="{8AC4CA05-DBEF-46B2-826B-3EDCD55D1AD2}" destId="{05290838-2918-4CF7-AA69-28185B2BA930}" srcOrd="1" destOrd="0" presId="urn:microsoft.com/office/officeart/2005/8/layout/hProcess11"/>
    <dgm:cxn modelId="{3C0ECE8D-99F8-42AC-9F5D-5EB4B42E5FA5}" type="presParOf" srcId="{8AC4CA05-DBEF-46B2-826B-3EDCD55D1AD2}" destId="{C0B1C676-28D5-4E20-91A3-D04F1E765F55}" srcOrd="2" destOrd="0" presId="urn:microsoft.com/office/officeart/2005/8/layout/hProcess11"/>
    <dgm:cxn modelId="{277CE7D5-2494-4DF2-B78A-ADA9304D3D0F}" type="presParOf" srcId="{6F9048E9-0925-4AFD-A883-A21CF7620039}" destId="{11A36C01-3BBC-45CE-A194-76557717912D}" srcOrd="9" destOrd="0" presId="urn:microsoft.com/office/officeart/2005/8/layout/hProcess11"/>
    <dgm:cxn modelId="{F289B086-E3EC-4A53-B18C-C9C78AA3B082}" type="presParOf" srcId="{6F9048E9-0925-4AFD-A883-A21CF7620039}" destId="{5D57488F-418E-4D6A-953C-63A0D6DDA338}" srcOrd="10" destOrd="0" presId="urn:microsoft.com/office/officeart/2005/8/layout/hProcess11"/>
    <dgm:cxn modelId="{1A019B2F-8DC5-4814-A359-B12DFB26F76E}" type="presParOf" srcId="{5D57488F-418E-4D6A-953C-63A0D6DDA338}" destId="{7505CE39-F3F8-4878-8E39-AC2548E177CB}" srcOrd="0" destOrd="0" presId="urn:microsoft.com/office/officeart/2005/8/layout/hProcess11"/>
    <dgm:cxn modelId="{33C0C389-DC1B-4F67-9967-EAF797469D03}" type="presParOf" srcId="{5D57488F-418E-4D6A-953C-63A0D6DDA338}" destId="{F327870D-3D1A-4036-995A-9EF06CFEE45E}" srcOrd="1" destOrd="0" presId="urn:microsoft.com/office/officeart/2005/8/layout/hProcess11"/>
    <dgm:cxn modelId="{B4E4888F-6452-4B1B-80DD-A281B4AADE4F}" type="presParOf" srcId="{5D57488F-418E-4D6A-953C-63A0D6DDA338}" destId="{D5202AE7-BB29-4336-AC76-ABA64D77F4D8}" srcOrd="2" destOrd="0" presId="urn:microsoft.com/office/officeart/2005/8/layout/hProcess1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0E2F2A7-898A-494D-9D45-B40B39553350}" type="doc">
      <dgm:prSet loTypeId="urn:microsoft.com/office/officeart/2005/8/layout/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6D65036D-3153-4D8A-93BB-C0A908DEBE0A}">
      <dgm:prSet phldrT="[Text]" custT="1"/>
      <dgm:spPr/>
      <dgm:t>
        <a:bodyPr/>
        <a:lstStyle/>
        <a:p>
          <a:r>
            <a:rPr lang="cs-CZ" sz="1600" b="1"/>
            <a:t>fáze I A</a:t>
          </a:r>
        </a:p>
      </dgm:t>
    </dgm:pt>
    <dgm:pt modelId="{BAACA523-314B-4F37-BBBB-34CB4163DD3A}" type="parTrans" cxnId="{F1BD58AF-4D4E-46E0-8381-AF7B5E1BEBAE}">
      <dgm:prSet/>
      <dgm:spPr/>
      <dgm:t>
        <a:bodyPr/>
        <a:lstStyle/>
        <a:p>
          <a:endParaRPr lang="cs-CZ"/>
        </a:p>
      </dgm:t>
    </dgm:pt>
    <dgm:pt modelId="{33647E5E-44D6-4AC1-B835-7B2AC31F96D3}" type="sibTrans" cxnId="{F1BD58AF-4D4E-46E0-8381-AF7B5E1BEBAE}">
      <dgm:prSet/>
      <dgm:spPr/>
      <dgm:t>
        <a:bodyPr/>
        <a:lstStyle/>
        <a:p>
          <a:endParaRPr lang="cs-CZ"/>
        </a:p>
      </dgm:t>
    </dgm:pt>
    <dgm:pt modelId="{ED5A1A6B-F6D3-483D-AEAB-BD04F848BD97}">
      <dgm:prSet phldrT="[Text]"/>
      <dgm:spPr/>
      <dgm:t>
        <a:bodyPr/>
        <a:lstStyle/>
        <a:p>
          <a:r>
            <a:rPr lang="cs-CZ" b="1" cap="none" spc="0">
              <a:ln w="0"/>
              <a:solidFill>
                <a:schemeClr val="accent1"/>
              </a:solidFill>
              <a:effectLst>
                <a:outerShdw blurRad="38100" dist="25400" dir="5400000" algn="ctr" rotWithShape="0">
                  <a:srgbClr val="6E747A">
                    <a:alpha val="43000"/>
                  </a:srgbClr>
                </a:outerShdw>
              </a:effectLst>
            </a:rPr>
            <a:t>Cílené centralizované očkování</a:t>
          </a:r>
          <a:endParaRPr lang="cs-CZ"/>
        </a:p>
      </dgm:t>
    </dgm:pt>
    <dgm:pt modelId="{4101AE2E-5845-4932-AA0A-1596E62EE296}" type="parTrans" cxnId="{85D265BD-CCA5-40B5-AB98-B68B180901BD}">
      <dgm:prSet/>
      <dgm:spPr/>
      <dgm:t>
        <a:bodyPr/>
        <a:lstStyle/>
        <a:p>
          <a:endParaRPr lang="cs-CZ"/>
        </a:p>
      </dgm:t>
    </dgm:pt>
    <dgm:pt modelId="{A8040D95-837E-4DD5-8F99-4529AAF77E61}" type="sibTrans" cxnId="{85D265BD-CCA5-40B5-AB98-B68B180901BD}">
      <dgm:prSet/>
      <dgm:spPr/>
      <dgm:t>
        <a:bodyPr/>
        <a:lstStyle/>
        <a:p>
          <a:endParaRPr lang="cs-CZ"/>
        </a:p>
      </dgm:t>
    </dgm:pt>
    <dgm:pt modelId="{EA41D75E-9AB3-4EBC-99FC-0E070FA6DA4D}">
      <dgm:prSet phldrT="[Text]" custT="1"/>
      <dgm:spPr/>
      <dgm:t>
        <a:bodyPr/>
        <a:lstStyle/>
        <a:p>
          <a:r>
            <a:rPr lang="cs-CZ" sz="1600" b="1"/>
            <a:t>fáze I B</a:t>
          </a:r>
        </a:p>
      </dgm:t>
    </dgm:pt>
    <dgm:pt modelId="{7FCC76F8-935F-401B-A3FD-428AFE0DA49A}" type="parTrans" cxnId="{0A827E0E-9914-4E91-AE23-43DB7C01F8A7}">
      <dgm:prSet/>
      <dgm:spPr/>
      <dgm:t>
        <a:bodyPr/>
        <a:lstStyle/>
        <a:p>
          <a:endParaRPr lang="cs-CZ"/>
        </a:p>
      </dgm:t>
    </dgm:pt>
    <dgm:pt modelId="{EBE9D8E2-128D-4448-B457-F4FF5D9E8217}" type="sibTrans" cxnId="{0A827E0E-9914-4E91-AE23-43DB7C01F8A7}">
      <dgm:prSet/>
      <dgm:spPr/>
      <dgm:t>
        <a:bodyPr/>
        <a:lstStyle/>
        <a:p>
          <a:endParaRPr lang="cs-CZ"/>
        </a:p>
      </dgm:t>
    </dgm:pt>
    <dgm:pt modelId="{AF352E92-5B2B-445C-95D5-F066FEE9E739}">
      <dgm:prSet phldrT="[Text]"/>
      <dgm:spPr/>
      <dgm:t>
        <a:bodyPr/>
        <a:lstStyle/>
        <a:p>
          <a:r>
            <a:rPr lang="cs-CZ" b="1" cap="none" spc="0">
              <a:ln w="0"/>
              <a:solidFill>
                <a:schemeClr val="accent1"/>
              </a:solidFill>
              <a:effectLst>
                <a:outerShdw blurRad="38100" dist="25400" dir="5400000" algn="ctr" rotWithShape="0">
                  <a:srgbClr val="6E747A">
                    <a:alpha val="43000"/>
                  </a:srgbClr>
                </a:outerShdw>
              </a:effectLst>
            </a:rPr>
            <a:t>Rozšířené centralizované očkování</a:t>
          </a:r>
          <a:endParaRPr lang="cs-CZ"/>
        </a:p>
      </dgm:t>
    </dgm:pt>
    <dgm:pt modelId="{C8C59BF1-D8C1-457F-9895-CE876B30E59F}" type="parTrans" cxnId="{84FE6978-976D-49DE-9044-766C7E89043E}">
      <dgm:prSet/>
      <dgm:spPr/>
      <dgm:t>
        <a:bodyPr/>
        <a:lstStyle/>
        <a:p>
          <a:endParaRPr lang="cs-CZ"/>
        </a:p>
      </dgm:t>
    </dgm:pt>
    <dgm:pt modelId="{9BF25E79-3BE5-4506-93F8-9DA7DF42A896}" type="sibTrans" cxnId="{84FE6978-976D-49DE-9044-766C7E89043E}">
      <dgm:prSet/>
      <dgm:spPr/>
      <dgm:t>
        <a:bodyPr/>
        <a:lstStyle/>
        <a:p>
          <a:endParaRPr lang="cs-CZ"/>
        </a:p>
      </dgm:t>
    </dgm:pt>
    <dgm:pt modelId="{65154EF5-6F29-4698-8A92-3DF4C4065693}">
      <dgm:prSet phldrT="[Text]" custT="1"/>
      <dgm:spPr>
        <a:solidFill>
          <a:srgbClr val="00B050"/>
        </a:solidFill>
      </dgm:spPr>
      <dgm:t>
        <a:bodyPr/>
        <a:lstStyle/>
        <a:p>
          <a:r>
            <a:rPr lang="cs-CZ" sz="1600" b="1"/>
            <a:t>fáze II</a:t>
          </a:r>
        </a:p>
      </dgm:t>
    </dgm:pt>
    <dgm:pt modelId="{F3F46ACD-A6BF-4C96-AAFF-F386E9B08ED4}" type="parTrans" cxnId="{8F4066C6-D6EF-4ACA-88AB-9B9A4E2680B3}">
      <dgm:prSet/>
      <dgm:spPr/>
      <dgm:t>
        <a:bodyPr/>
        <a:lstStyle/>
        <a:p>
          <a:endParaRPr lang="cs-CZ"/>
        </a:p>
      </dgm:t>
    </dgm:pt>
    <dgm:pt modelId="{22E76877-5D51-43D0-985E-720FA4C05060}" type="sibTrans" cxnId="{8F4066C6-D6EF-4ACA-88AB-9B9A4E2680B3}">
      <dgm:prSet/>
      <dgm:spPr/>
      <dgm:t>
        <a:bodyPr/>
        <a:lstStyle/>
        <a:p>
          <a:endParaRPr lang="cs-CZ"/>
        </a:p>
      </dgm:t>
    </dgm:pt>
    <dgm:pt modelId="{6EFD82B8-7B5C-423B-BD0B-7923C1BFC667}">
      <dgm:prSet phldrT="[Text]"/>
      <dgm:spPr/>
      <dgm:t>
        <a:bodyPr/>
        <a:lstStyle/>
        <a:p>
          <a:r>
            <a:rPr lang="cs-CZ" b="1" cap="none" spc="0">
              <a:ln w="0"/>
              <a:solidFill>
                <a:srgbClr val="00B050"/>
              </a:solidFill>
              <a:effectLst>
                <a:outerShdw blurRad="38100" dist="25400" dir="5400000" algn="ctr" rotWithShape="0">
                  <a:srgbClr val="6E747A">
                    <a:alpha val="43000"/>
                  </a:srgbClr>
                </a:outerShdw>
              </a:effectLst>
            </a:rPr>
            <a:t>Široké decentralizované očkování</a:t>
          </a:r>
          <a:endParaRPr lang="cs-CZ">
            <a:solidFill>
              <a:srgbClr val="00B050"/>
            </a:solidFill>
          </a:endParaRPr>
        </a:p>
      </dgm:t>
    </dgm:pt>
    <dgm:pt modelId="{716D156F-8E8C-4340-AF70-A3FC6FDC05D9}" type="parTrans" cxnId="{BDD88EF9-5237-4B80-AB43-ED5947AD0528}">
      <dgm:prSet/>
      <dgm:spPr/>
      <dgm:t>
        <a:bodyPr/>
        <a:lstStyle/>
        <a:p>
          <a:endParaRPr lang="cs-CZ"/>
        </a:p>
      </dgm:t>
    </dgm:pt>
    <dgm:pt modelId="{370B57C3-F5A9-41E6-A2DF-BD4F5FBADA9D}" type="sibTrans" cxnId="{BDD88EF9-5237-4B80-AB43-ED5947AD0528}">
      <dgm:prSet/>
      <dgm:spPr/>
      <dgm:t>
        <a:bodyPr/>
        <a:lstStyle/>
        <a:p>
          <a:endParaRPr lang="cs-CZ"/>
        </a:p>
      </dgm:t>
    </dgm:pt>
    <dgm:pt modelId="{B7461046-B317-4AD4-84D1-79DEE21BF53F}">
      <dgm:prSet/>
      <dgm:spPr/>
      <dgm:t>
        <a:bodyPr/>
        <a:lstStyle/>
        <a:p>
          <a:r>
            <a:rPr lang="cs-CZ" b="1" u="none"/>
            <a:t>Některé náročné podmínky skladování a požadavky na logistiku</a:t>
          </a:r>
          <a:r>
            <a:rPr lang="cs-CZ" u="none"/>
            <a:t> (např. skladování při −70 °C)</a:t>
          </a:r>
        </a:p>
      </dgm:t>
    </dgm:pt>
    <dgm:pt modelId="{30F0D686-EE54-4EA0-A815-BC3C36D2A4CB}" type="parTrans" cxnId="{5C60FBE1-8FA2-4865-A079-DFE4FE061C50}">
      <dgm:prSet/>
      <dgm:spPr/>
      <dgm:t>
        <a:bodyPr/>
        <a:lstStyle/>
        <a:p>
          <a:endParaRPr lang="cs-CZ"/>
        </a:p>
      </dgm:t>
    </dgm:pt>
    <dgm:pt modelId="{CC57B557-867D-41A8-9363-6386281D3A95}" type="sibTrans" cxnId="{5C60FBE1-8FA2-4865-A079-DFE4FE061C50}">
      <dgm:prSet/>
      <dgm:spPr/>
      <dgm:t>
        <a:bodyPr/>
        <a:lstStyle/>
        <a:p>
          <a:endParaRPr lang="cs-CZ"/>
        </a:p>
      </dgm:t>
    </dgm:pt>
    <dgm:pt modelId="{A87F7175-9843-416A-AFFA-FDED36CDB5CA}">
      <dgm:prSet/>
      <dgm:spPr/>
      <dgm:t>
        <a:bodyPr/>
        <a:lstStyle/>
        <a:p>
          <a:r>
            <a:rPr lang="cs-CZ" b="1" u="none"/>
            <a:t>Vícedávková</a:t>
          </a:r>
          <a:r>
            <a:rPr lang="cs-CZ" u="none"/>
            <a:t> balení</a:t>
          </a:r>
        </a:p>
      </dgm:t>
    </dgm:pt>
    <dgm:pt modelId="{D18E6F36-64F2-4BBB-961D-390CE2F688B7}" type="parTrans" cxnId="{C9D7FC2D-15E2-4AE5-960F-608BF9D3B1FC}">
      <dgm:prSet/>
      <dgm:spPr/>
      <dgm:t>
        <a:bodyPr/>
        <a:lstStyle/>
        <a:p>
          <a:endParaRPr lang="cs-CZ"/>
        </a:p>
      </dgm:t>
    </dgm:pt>
    <dgm:pt modelId="{DF53A370-873D-4EA7-A44A-9063EEBC205E}" type="sibTrans" cxnId="{C9D7FC2D-15E2-4AE5-960F-608BF9D3B1FC}">
      <dgm:prSet/>
      <dgm:spPr/>
      <dgm:t>
        <a:bodyPr/>
        <a:lstStyle/>
        <a:p>
          <a:endParaRPr lang="cs-CZ"/>
        </a:p>
      </dgm:t>
    </dgm:pt>
    <dgm:pt modelId="{62E22062-B42E-4646-8851-5E12CC50CA75}">
      <dgm:prSet/>
      <dgm:spPr/>
      <dgm:t>
        <a:bodyPr/>
        <a:lstStyle/>
        <a:p>
          <a:r>
            <a:rPr lang="cs-CZ" u="none"/>
            <a:t>K dispozici různé typy vakcíny</a:t>
          </a:r>
        </a:p>
      </dgm:t>
    </dgm:pt>
    <dgm:pt modelId="{C028A822-AB2C-4346-8918-D8F987CAD4F8}" type="parTrans" cxnId="{301B8B10-0BC1-4986-9AA6-3CDF62DF2519}">
      <dgm:prSet/>
      <dgm:spPr/>
      <dgm:t>
        <a:bodyPr/>
        <a:lstStyle/>
        <a:p>
          <a:endParaRPr lang="cs-CZ"/>
        </a:p>
      </dgm:t>
    </dgm:pt>
    <dgm:pt modelId="{83357024-AC13-481B-BD3B-350E0612B33A}" type="sibTrans" cxnId="{301B8B10-0BC1-4986-9AA6-3CDF62DF2519}">
      <dgm:prSet/>
      <dgm:spPr/>
      <dgm:t>
        <a:bodyPr/>
        <a:lstStyle/>
        <a:p>
          <a:endParaRPr lang="cs-CZ"/>
        </a:p>
      </dgm:t>
    </dgm:pt>
    <dgm:pt modelId="{860E6F6E-9814-4910-8FC1-052F3F127B7C}">
      <dgm:prSet/>
      <dgm:spPr/>
      <dgm:t>
        <a:bodyPr/>
        <a:lstStyle/>
        <a:p>
          <a:r>
            <a:rPr lang="cs-CZ" u="none"/>
            <a:t>Velmi omezená zkušenost s vakcínou</a:t>
          </a:r>
        </a:p>
      </dgm:t>
    </dgm:pt>
    <dgm:pt modelId="{C8495826-3F81-415F-A339-1A10B20061D5}" type="parTrans" cxnId="{D67AEE7D-2C33-46EF-A9E4-2FFDB1F1939A}">
      <dgm:prSet/>
      <dgm:spPr/>
      <dgm:t>
        <a:bodyPr/>
        <a:lstStyle/>
        <a:p>
          <a:endParaRPr lang="cs-CZ"/>
        </a:p>
      </dgm:t>
    </dgm:pt>
    <dgm:pt modelId="{1FD9DB7F-449B-4DA7-84C6-95EC6DBF1E1B}" type="sibTrans" cxnId="{D67AEE7D-2C33-46EF-A9E4-2FFDB1F1939A}">
      <dgm:prSet/>
      <dgm:spPr/>
      <dgm:t>
        <a:bodyPr/>
        <a:lstStyle/>
        <a:p>
          <a:endParaRPr lang="cs-CZ"/>
        </a:p>
      </dgm:t>
    </dgm:pt>
    <dgm:pt modelId="{B93121C1-C513-4BF7-8814-B9C2290E9FF5}">
      <dgm:prSet/>
      <dgm:spPr/>
      <dgm:t>
        <a:bodyPr/>
        <a:lstStyle/>
        <a:p>
          <a:r>
            <a:rPr lang="cs-CZ"/>
            <a:t>Vysoce cílené</a:t>
          </a:r>
          <a:r>
            <a:rPr lang="cs-CZ" b="1"/>
            <a:t>, vysoce prioritizované očkování</a:t>
          </a:r>
          <a:r>
            <a:rPr lang="cs-CZ"/>
            <a:t> podle doporučení MZ a NIKO</a:t>
          </a:r>
        </a:p>
      </dgm:t>
    </dgm:pt>
    <dgm:pt modelId="{543A6715-F856-4611-8D07-F358855359CF}" type="parTrans" cxnId="{CD9D1379-FE3F-4022-965D-7958C63EAEBD}">
      <dgm:prSet/>
      <dgm:spPr/>
      <dgm:t>
        <a:bodyPr/>
        <a:lstStyle/>
        <a:p>
          <a:endParaRPr lang="cs-CZ"/>
        </a:p>
      </dgm:t>
    </dgm:pt>
    <dgm:pt modelId="{AFA38BEF-6CBD-4C92-96CF-FAEC1F8C793F}" type="sibTrans" cxnId="{CD9D1379-FE3F-4022-965D-7958C63EAEBD}">
      <dgm:prSet/>
      <dgm:spPr/>
      <dgm:t>
        <a:bodyPr/>
        <a:lstStyle/>
        <a:p>
          <a:endParaRPr lang="cs-CZ"/>
        </a:p>
      </dgm:t>
    </dgm:pt>
    <dgm:pt modelId="{83D09D00-48A7-472E-94CA-2F57D88780B9}">
      <dgm:prSet phldrT="[Text]"/>
      <dgm:spPr/>
      <dgm:t>
        <a:bodyPr/>
        <a:lstStyle/>
        <a:p>
          <a:r>
            <a:rPr lang="cs-CZ" u="none"/>
            <a:t>Dostupné pouze </a:t>
          </a:r>
          <a:r>
            <a:rPr lang="cs-CZ" b="1" u="none"/>
            <a:t>omezené množství</a:t>
          </a:r>
          <a:r>
            <a:rPr lang="cs-CZ" u="none"/>
            <a:t> vakcíny</a:t>
          </a:r>
          <a:endParaRPr lang="cs-CZ"/>
        </a:p>
      </dgm:t>
    </dgm:pt>
    <dgm:pt modelId="{9F821437-D47A-482D-8955-5FE3A6FFBAFB}" type="parTrans" cxnId="{3515EE2F-20D8-4AB3-AD4D-8876B37051E2}">
      <dgm:prSet/>
      <dgm:spPr/>
      <dgm:t>
        <a:bodyPr/>
        <a:lstStyle/>
        <a:p>
          <a:endParaRPr lang="cs-CZ"/>
        </a:p>
      </dgm:t>
    </dgm:pt>
    <dgm:pt modelId="{A7B54F5E-863B-4FA6-9F4B-80FB53207CF7}" type="sibTrans" cxnId="{3515EE2F-20D8-4AB3-AD4D-8876B37051E2}">
      <dgm:prSet/>
      <dgm:spPr/>
      <dgm:t>
        <a:bodyPr/>
        <a:lstStyle/>
        <a:p>
          <a:endParaRPr lang="cs-CZ"/>
        </a:p>
      </dgm:t>
    </dgm:pt>
    <dgm:pt modelId="{261BCF63-089A-46F1-9AEC-B53231F7DC3D}">
      <dgm:prSet/>
      <dgm:spPr/>
      <dgm:t>
        <a:bodyPr/>
        <a:lstStyle/>
        <a:p>
          <a:r>
            <a:rPr lang="cs-CZ" u="none"/>
            <a:t>Dostupné </a:t>
          </a:r>
          <a:r>
            <a:rPr lang="cs-CZ" b="1" u="none"/>
            <a:t>větší množství </a:t>
          </a:r>
          <a:r>
            <a:rPr lang="cs-CZ" u="none"/>
            <a:t>vakcíny</a:t>
          </a:r>
          <a:endParaRPr lang="cs-CZ"/>
        </a:p>
      </dgm:t>
    </dgm:pt>
    <dgm:pt modelId="{8AAD4278-D751-448B-BDAB-657339334480}" type="parTrans" cxnId="{48108DE5-184C-4F2F-BD5F-0C043213D2B9}">
      <dgm:prSet/>
      <dgm:spPr/>
      <dgm:t>
        <a:bodyPr/>
        <a:lstStyle/>
        <a:p>
          <a:endParaRPr lang="cs-CZ"/>
        </a:p>
      </dgm:t>
    </dgm:pt>
    <dgm:pt modelId="{E0BD8776-8E33-4403-8E90-FA0C0651BB61}" type="sibTrans" cxnId="{48108DE5-184C-4F2F-BD5F-0C043213D2B9}">
      <dgm:prSet/>
      <dgm:spPr/>
      <dgm:t>
        <a:bodyPr/>
        <a:lstStyle/>
        <a:p>
          <a:endParaRPr lang="cs-CZ"/>
        </a:p>
      </dgm:t>
    </dgm:pt>
    <dgm:pt modelId="{97E62C51-3C5B-4475-AFF8-88328FE67C06}">
      <dgm:prSet/>
      <dgm:spPr/>
      <dgm:t>
        <a:bodyPr/>
        <a:lstStyle/>
        <a:p>
          <a:r>
            <a:rPr lang="cs-CZ" b="1" u="none"/>
            <a:t>Některé náročné podmínky skladování a požadavky na logistiku</a:t>
          </a:r>
          <a:r>
            <a:rPr lang="cs-CZ" u="none"/>
            <a:t> (např. skladování při −70 °C)</a:t>
          </a:r>
        </a:p>
      </dgm:t>
    </dgm:pt>
    <dgm:pt modelId="{6C88F72C-9723-4E85-B84B-A662847DEA45}" type="parTrans" cxnId="{E6A7BE7C-2E7B-41D1-9751-DC269F738A37}">
      <dgm:prSet/>
      <dgm:spPr/>
      <dgm:t>
        <a:bodyPr/>
        <a:lstStyle/>
        <a:p>
          <a:endParaRPr lang="cs-CZ"/>
        </a:p>
      </dgm:t>
    </dgm:pt>
    <dgm:pt modelId="{7EE9C02D-A50F-49D5-A7C3-876B4ED8CAB6}" type="sibTrans" cxnId="{E6A7BE7C-2E7B-41D1-9751-DC269F738A37}">
      <dgm:prSet/>
      <dgm:spPr/>
      <dgm:t>
        <a:bodyPr/>
        <a:lstStyle/>
        <a:p>
          <a:endParaRPr lang="cs-CZ"/>
        </a:p>
      </dgm:t>
    </dgm:pt>
    <dgm:pt modelId="{0742C045-8665-4F99-B5A0-3AD3F2FE5BF7}">
      <dgm:prSet/>
      <dgm:spPr/>
      <dgm:t>
        <a:bodyPr/>
        <a:lstStyle/>
        <a:p>
          <a:r>
            <a:rPr lang="cs-CZ" b="1" u="none"/>
            <a:t>Vícedávková</a:t>
          </a:r>
          <a:r>
            <a:rPr lang="cs-CZ" u="none"/>
            <a:t> balení</a:t>
          </a:r>
        </a:p>
      </dgm:t>
    </dgm:pt>
    <dgm:pt modelId="{E699FC25-4EAD-4781-BFE0-8B6007DCCCFE}" type="parTrans" cxnId="{8CFD53C2-1CB4-41DE-8584-D541C5E931F2}">
      <dgm:prSet/>
      <dgm:spPr/>
      <dgm:t>
        <a:bodyPr/>
        <a:lstStyle/>
        <a:p>
          <a:endParaRPr lang="cs-CZ"/>
        </a:p>
      </dgm:t>
    </dgm:pt>
    <dgm:pt modelId="{635AE502-589E-4EA3-8490-A4FB15789815}" type="sibTrans" cxnId="{8CFD53C2-1CB4-41DE-8584-D541C5E931F2}">
      <dgm:prSet/>
      <dgm:spPr/>
      <dgm:t>
        <a:bodyPr/>
        <a:lstStyle/>
        <a:p>
          <a:endParaRPr lang="cs-CZ"/>
        </a:p>
      </dgm:t>
    </dgm:pt>
    <dgm:pt modelId="{524AF793-A369-4220-A913-204CB4488C6A}">
      <dgm:prSet/>
      <dgm:spPr/>
      <dgm:t>
        <a:bodyPr/>
        <a:lstStyle/>
        <a:p>
          <a:r>
            <a:rPr lang="cs-CZ" u="none"/>
            <a:t>K dispozici různé typy vakcíny</a:t>
          </a:r>
        </a:p>
      </dgm:t>
    </dgm:pt>
    <dgm:pt modelId="{238ACFC7-E322-4171-83C9-47AC80B2DD88}" type="parTrans" cxnId="{92690FA1-1046-4D3B-B8B6-0575217010BA}">
      <dgm:prSet/>
      <dgm:spPr/>
      <dgm:t>
        <a:bodyPr/>
        <a:lstStyle/>
        <a:p>
          <a:endParaRPr lang="cs-CZ"/>
        </a:p>
      </dgm:t>
    </dgm:pt>
    <dgm:pt modelId="{63BDFC23-7157-4162-9F45-A506F2DA8F50}" type="sibTrans" cxnId="{92690FA1-1046-4D3B-B8B6-0575217010BA}">
      <dgm:prSet/>
      <dgm:spPr/>
      <dgm:t>
        <a:bodyPr/>
        <a:lstStyle/>
        <a:p>
          <a:endParaRPr lang="cs-CZ"/>
        </a:p>
      </dgm:t>
    </dgm:pt>
    <dgm:pt modelId="{56C04E08-8190-4EDE-99D0-F3F0DD1DA4DB}">
      <dgm:prSet/>
      <dgm:spPr/>
      <dgm:t>
        <a:bodyPr/>
        <a:lstStyle/>
        <a:p>
          <a:r>
            <a:rPr lang="cs-CZ" u="none"/>
            <a:t>Omezená zkušenost s vakcínou</a:t>
          </a:r>
        </a:p>
      </dgm:t>
    </dgm:pt>
    <dgm:pt modelId="{C9EFEFA8-0F22-464A-95D8-F90D65DCA0F4}" type="parTrans" cxnId="{2AA65870-78AC-4D93-A021-7EE2FA8C3745}">
      <dgm:prSet/>
      <dgm:spPr/>
      <dgm:t>
        <a:bodyPr/>
        <a:lstStyle/>
        <a:p>
          <a:endParaRPr lang="cs-CZ"/>
        </a:p>
      </dgm:t>
    </dgm:pt>
    <dgm:pt modelId="{D0328B96-94F1-4C2D-895B-A27F696961F0}" type="sibTrans" cxnId="{2AA65870-78AC-4D93-A021-7EE2FA8C3745}">
      <dgm:prSet/>
      <dgm:spPr/>
      <dgm:t>
        <a:bodyPr/>
        <a:lstStyle/>
        <a:p>
          <a:endParaRPr lang="cs-CZ"/>
        </a:p>
      </dgm:t>
    </dgm:pt>
    <dgm:pt modelId="{DA70172E-1BEB-4AED-8721-D3EC9655435D}">
      <dgm:prSet/>
      <dgm:spPr/>
      <dgm:t>
        <a:bodyPr/>
        <a:lstStyle/>
        <a:p>
          <a:r>
            <a:rPr lang="cs-CZ" b="1"/>
            <a:t>Prioritizované očkování </a:t>
          </a:r>
          <a:r>
            <a:rPr lang="cs-CZ"/>
            <a:t>podle doporučení MZ a NIKO</a:t>
          </a:r>
        </a:p>
      </dgm:t>
    </dgm:pt>
    <dgm:pt modelId="{7D52986C-F25E-4973-A737-10AC51202EC6}" type="parTrans" cxnId="{243FEEE3-CBF7-435E-B367-004F3DB79244}">
      <dgm:prSet/>
      <dgm:spPr/>
      <dgm:t>
        <a:bodyPr/>
        <a:lstStyle/>
        <a:p>
          <a:endParaRPr lang="cs-CZ"/>
        </a:p>
      </dgm:t>
    </dgm:pt>
    <dgm:pt modelId="{DD31CD67-02A0-4A9B-B4F5-5CC518F8D531}" type="sibTrans" cxnId="{243FEEE3-CBF7-435E-B367-004F3DB79244}">
      <dgm:prSet/>
      <dgm:spPr/>
      <dgm:t>
        <a:bodyPr/>
        <a:lstStyle/>
        <a:p>
          <a:endParaRPr lang="cs-CZ"/>
        </a:p>
      </dgm:t>
    </dgm:pt>
    <dgm:pt modelId="{115084DD-296C-4A64-AA32-54C833CC4633}">
      <dgm:prSet/>
      <dgm:spPr/>
      <dgm:t>
        <a:bodyPr/>
        <a:lstStyle/>
        <a:p>
          <a:r>
            <a:rPr lang="cs-CZ" u="none"/>
            <a:t>Vakcína je široce dostupná</a:t>
          </a:r>
          <a:endParaRPr lang="cs-CZ"/>
        </a:p>
      </dgm:t>
    </dgm:pt>
    <dgm:pt modelId="{3FE24DDF-CEEF-453B-A5E3-D198EAFCA474}" type="parTrans" cxnId="{AAE28506-6F17-4AA1-A283-BC9584353DB2}">
      <dgm:prSet/>
      <dgm:spPr/>
      <dgm:t>
        <a:bodyPr/>
        <a:lstStyle/>
        <a:p>
          <a:endParaRPr lang="cs-CZ"/>
        </a:p>
      </dgm:t>
    </dgm:pt>
    <dgm:pt modelId="{876420A2-316B-4EB6-99EF-49E9506AA9B7}" type="sibTrans" cxnId="{AAE28506-6F17-4AA1-A283-BC9584353DB2}">
      <dgm:prSet/>
      <dgm:spPr/>
      <dgm:t>
        <a:bodyPr/>
        <a:lstStyle/>
        <a:p>
          <a:endParaRPr lang="cs-CZ"/>
        </a:p>
      </dgm:t>
    </dgm:pt>
    <dgm:pt modelId="{805005EC-9127-4E22-B21B-4EC8D6B77F8A}">
      <dgm:prSet/>
      <dgm:spPr/>
      <dgm:t>
        <a:bodyPr/>
        <a:lstStyle/>
        <a:p>
          <a:r>
            <a:rPr lang="cs-CZ" b="1" u="none"/>
            <a:t>Méně náročné podmínky skladování a požadavky na logistiku</a:t>
          </a:r>
          <a:r>
            <a:rPr lang="cs-CZ" u="none"/>
            <a:t> (např. skladování při 2-8 °C)</a:t>
          </a:r>
        </a:p>
      </dgm:t>
    </dgm:pt>
    <dgm:pt modelId="{96ACA894-9E6A-437D-A940-CD1565E217B3}" type="parTrans" cxnId="{656719E4-E007-4320-B8F5-EEB4224D9F97}">
      <dgm:prSet/>
      <dgm:spPr/>
      <dgm:t>
        <a:bodyPr/>
        <a:lstStyle/>
        <a:p>
          <a:endParaRPr lang="cs-CZ"/>
        </a:p>
      </dgm:t>
    </dgm:pt>
    <dgm:pt modelId="{88222BD8-5709-4608-A360-1384A7A0A542}" type="sibTrans" cxnId="{656719E4-E007-4320-B8F5-EEB4224D9F97}">
      <dgm:prSet/>
      <dgm:spPr/>
      <dgm:t>
        <a:bodyPr/>
        <a:lstStyle/>
        <a:p>
          <a:endParaRPr lang="cs-CZ"/>
        </a:p>
      </dgm:t>
    </dgm:pt>
    <dgm:pt modelId="{C954A738-1D6E-4C98-BEF2-4E7CEAD509DA}">
      <dgm:prSet/>
      <dgm:spPr/>
      <dgm:t>
        <a:bodyPr/>
        <a:lstStyle/>
        <a:p>
          <a:r>
            <a:rPr lang="cs-CZ" b="1" u="none"/>
            <a:t>Vícedávkové nebo jednodávkové </a:t>
          </a:r>
          <a:r>
            <a:rPr lang="cs-CZ" u="none"/>
            <a:t>balení</a:t>
          </a:r>
        </a:p>
      </dgm:t>
    </dgm:pt>
    <dgm:pt modelId="{05E70588-54A5-4799-BD1F-DF013D261EE5}" type="parTrans" cxnId="{B9DCAAB1-33B5-4F77-991B-F4E037A92914}">
      <dgm:prSet/>
      <dgm:spPr/>
      <dgm:t>
        <a:bodyPr/>
        <a:lstStyle/>
        <a:p>
          <a:endParaRPr lang="cs-CZ"/>
        </a:p>
      </dgm:t>
    </dgm:pt>
    <dgm:pt modelId="{3EB01A92-4077-47CB-B4F8-8D1109C5FEA3}" type="sibTrans" cxnId="{B9DCAAB1-33B5-4F77-991B-F4E037A92914}">
      <dgm:prSet/>
      <dgm:spPr/>
      <dgm:t>
        <a:bodyPr/>
        <a:lstStyle/>
        <a:p>
          <a:endParaRPr lang="cs-CZ"/>
        </a:p>
      </dgm:t>
    </dgm:pt>
    <dgm:pt modelId="{74F82ED9-C762-4D0F-A3FA-3A9FEDF66F52}">
      <dgm:prSet/>
      <dgm:spPr/>
      <dgm:t>
        <a:bodyPr/>
        <a:lstStyle/>
        <a:p>
          <a:r>
            <a:rPr lang="cs-CZ" u="none"/>
            <a:t>K dispozici různé typy vakcíny</a:t>
          </a:r>
        </a:p>
      </dgm:t>
    </dgm:pt>
    <dgm:pt modelId="{F6DABFE2-01F3-4E10-B762-8780E6CF6456}" type="parTrans" cxnId="{EB5D729D-72A3-4235-A53B-E25BB1688A31}">
      <dgm:prSet/>
      <dgm:spPr/>
      <dgm:t>
        <a:bodyPr/>
        <a:lstStyle/>
        <a:p>
          <a:endParaRPr lang="cs-CZ"/>
        </a:p>
      </dgm:t>
    </dgm:pt>
    <dgm:pt modelId="{D1BBF2D3-C8A2-41E0-B833-2E17D7B2C45A}" type="sibTrans" cxnId="{EB5D729D-72A3-4235-A53B-E25BB1688A31}">
      <dgm:prSet/>
      <dgm:spPr/>
      <dgm:t>
        <a:bodyPr/>
        <a:lstStyle/>
        <a:p>
          <a:endParaRPr lang="cs-CZ"/>
        </a:p>
      </dgm:t>
    </dgm:pt>
    <dgm:pt modelId="{71A9D6B0-F2A5-491C-8FB1-9EE230CBC737}">
      <dgm:prSet/>
      <dgm:spPr/>
      <dgm:t>
        <a:bodyPr/>
        <a:lstStyle/>
        <a:p>
          <a:r>
            <a:rPr lang="cs-CZ" b="1" u="none"/>
            <a:t>Široké očkování </a:t>
          </a:r>
          <a:r>
            <a:rPr lang="cs-CZ" u="none"/>
            <a:t>podle doporučení MZ a NIKO</a:t>
          </a:r>
        </a:p>
      </dgm:t>
    </dgm:pt>
    <dgm:pt modelId="{013E550B-0B45-4502-8921-F595E14BB342}" type="parTrans" cxnId="{AE2C23F8-0A42-4DA6-8B78-8993488CD8A4}">
      <dgm:prSet/>
      <dgm:spPr/>
      <dgm:t>
        <a:bodyPr/>
        <a:lstStyle/>
        <a:p>
          <a:endParaRPr lang="cs-CZ"/>
        </a:p>
      </dgm:t>
    </dgm:pt>
    <dgm:pt modelId="{E0F3ED15-BA1D-4344-BFD0-6C15DEFA8171}" type="sibTrans" cxnId="{AE2C23F8-0A42-4DA6-8B78-8993488CD8A4}">
      <dgm:prSet/>
      <dgm:spPr/>
      <dgm:t>
        <a:bodyPr/>
        <a:lstStyle/>
        <a:p>
          <a:endParaRPr lang="cs-CZ"/>
        </a:p>
      </dgm:t>
    </dgm:pt>
    <dgm:pt modelId="{4B10CBB0-AB03-49E0-8D12-57A40E9DCB6E}" type="pres">
      <dgm:prSet presAssocID="{D0E2F2A7-898A-494D-9D45-B40B39553350}" presName="linearFlow" presStyleCnt="0">
        <dgm:presLayoutVars>
          <dgm:dir/>
          <dgm:animLvl val="lvl"/>
          <dgm:resizeHandles val="exact"/>
        </dgm:presLayoutVars>
      </dgm:prSet>
      <dgm:spPr/>
    </dgm:pt>
    <dgm:pt modelId="{41E94EAE-F092-4F95-9069-D5BE8ECEA6D6}" type="pres">
      <dgm:prSet presAssocID="{6D65036D-3153-4D8A-93BB-C0A908DEBE0A}" presName="composite" presStyleCnt="0"/>
      <dgm:spPr/>
    </dgm:pt>
    <dgm:pt modelId="{91930526-94D7-400A-9927-BFC412DA2BD4}" type="pres">
      <dgm:prSet presAssocID="{6D65036D-3153-4D8A-93BB-C0A908DEBE0A}" presName="parTx" presStyleLbl="node1" presStyleIdx="0" presStyleCnt="3">
        <dgm:presLayoutVars>
          <dgm:chMax val="0"/>
          <dgm:chPref val="0"/>
          <dgm:bulletEnabled val="1"/>
        </dgm:presLayoutVars>
      </dgm:prSet>
      <dgm:spPr/>
    </dgm:pt>
    <dgm:pt modelId="{85120167-0B6F-40F5-BB9B-B850F3341E9E}" type="pres">
      <dgm:prSet presAssocID="{6D65036D-3153-4D8A-93BB-C0A908DEBE0A}" presName="parSh" presStyleLbl="node1" presStyleIdx="0" presStyleCnt="3"/>
      <dgm:spPr/>
    </dgm:pt>
    <dgm:pt modelId="{61CE2502-27E0-4C94-AAD9-7D1ACDA80FD5}" type="pres">
      <dgm:prSet presAssocID="{6D65036D-3153-4D8A-93BB-C0A908DEBE0A}" presName="desTx" presStyleLbl="fgAcc1" presStyleIdx="0" presStyleCnt="3">
        <dgm:presLayoutVars>
          <dgm:bulletEnabled val="1"/>
        </dgm:presLayoutVars>
      </dgm:prSet>
      <dgm:spPr/>
    </dgm:pt>
    <dgm:pt modelId="{FA56B1DB-AD51-4263-BDA1-8A294B502CB0}" type="pres">
      <dgm:prSet presAssocID="{33647E5E-44D6-4AC1-B835-7B2AC31F96D3}" presName="sibTrans" presStyleLbl="sibTrans2D1" presStyleIdx="0" presStyleCnt="2"/>
      <dgm:spPr/>
    </dgm:pt>
    <dgm:pt modelId="{C0317F01-E9E2-4BC1-B1A9-F2D5BA4D4FBE}" type="pres">
      <dgm:prSet presAssocID="{33647E5E-44D6-4AC1-B835-7B2AC31F96D3}" presName="connTx" presStyleLbl="sibTrans2D1" presStyleIdx="0" presStyleCnt="2"/>
      <dgm:spPr/>
    </dgm:pt>
    <dgm:pt modelId="{F2BCE499-7AAE-47C7-893D-1330077E9A0B}" type="pres">
      <dgm:prSet presAssocID="{EA41D75E-9AB3-4EBC-99FC-0E070FA6DA4D}" presName="composite" presStyleCnt="0"/>
      <dgm:spPr/>
    </dgm:pt>
    <dgm:pt modelId="{C2E9D34B-CC8B-4A44-B31F-D892974065C2}" type="pres">
      <dgm:prSet presAssocID="{EA41D75E-9AB3-4EBC-99FC-0E070FA6DA4D}" presName="parTx" presStyleLbl="node1" presStyleIdx="0" presStyleCnt="3">
        <dgm:presLayoutVars>
          <dgm:chMax val="0"/>
          <dgm:chPref val="0"/>
          <dgm:bulletEnabled val="1"/>
        </dgm:presLayoutVars>
      </dgm:prSet>
      <dgm:spPr/>
    </dgm:pt>
    <dgm:pt modelId="{A0B1C03E-53F8-4F7C-A3CA-D3AAF0E8BF2D}" type="pres">
      <dgm:prSet presAssocID="{EA41D75E-9AB3-4EBC-99FC-0E070FA6DA4D}" presName="parSh" presStyleLbl="node1" presStyleIdx="1" presStyleCnt="3"/>
      <dgm:spPr/>
    </dgm:pt>
    <dgm:pt modelId="{96922067-8FBC-4636-986C-32C62691281A}" type="pres">
      <dgm:prSet presAssocID="{EA41D75E-9AB3-4EBC-99FC-0E070FA6DA4D}" presName="desTx" presStyleLbl="fgAcc1" presStyleIdx="1" presStyleCnt="3">
        <dgm:presLayoutVars>
          <dgm:bulletEnabled val="1"/>
        </dgm:presLayoutVars>
      </dgm:prSet>
      <dgm:spPr/>
    </dgm:pt>
    <dgm:pt modelId="{71E97FD9-7459-425E-ADA5-6BF63EB7E13B}" type="pres">
      <dgm:prSet presAssocID="{EBE9D8E2-128D-4448-B457-F4FF5D9E8217}" presName="sibTrans" presStyleLbl="sibTrans2D1" presStyleIdx="1" presStyleCnt="2"/>
      <dgm:spPr/>
    </dgm:pt>
    <dgm:pt modelId="{3C4EB948-EB50-47FE-A8FD-4AFEE8B4A48E}" type="pres">
      <dgm:prSet presAssocID="{EBE9D8E2-128D-4448-B457-F4FF5D9E8217}" presName="connTx" presStyleLbl="sibTrans2D1" presStyleIdx="1" presStyleCnt="2"/>
      <dgm:spPr/>
    </dgm:pt>
    <dgm:pt modelId="{034E9CE5-DF45-4CDA-AABF-CD382A09B3DE}" type="pres">
      <dgm:prSet presAssocID="{65154EF5-6F29-4698-8A92-3DF4C4065693}" presName="composite" presStyleCnt="0"/>
      <dgm:spPr/>
    </dgm:pt>
    <dgm:pt modelId="{629EAD17-D44D-4824-9E56-0C9359E96E66}" type="pres">
      <dgm:prSet presAssocID="{65154EF5-6F29-4698-8A92-3DF4C4065693}" presName="parTx" presStyleLbl="node1" presStyleIdx="1" presStyleCnt="3">
        <dgm:presLayoutVars>
          <dgm:chMax val="0"/>
          <dgm:chPref val="0"/>
          <dgm:bulletEnabled val="1"/>
        </dgm:presLayoutVars>
      </dgm:prSet>
      <dgm:spPr/>
    </dgm:pt>
    <dgm:pt modelId="{48871787-408D-4122-851E-C5BB99754B62}" type="pres">
      <dgm:prSet presAssocID="{65154EF5-6F29-4698-8A92-3DF4C4065693}" presName="parSh" presStyleLbl="node1" presStyleIdx="2" presStyleCnt="3"/>
      <dgm:spPr/>
    </dgm:pt>
    <dgm:pt modelId="{20679306-E39F-4E11-841B-D9FD55E317AD}" type="pres">
      <dgm:prSet presAssocID="{65154EF5-6F29-4698-8A92-3DF4C4065693}" presName="desTx" presStyleLbl="fgAcc1" presStyleIdx="2" presStyleCnt="3">
        <dgm:presLayoutVars>
          <dgm:bulletEnabled val="1"/>
        </dgm:presLayoutVars>
      </dgm:prSet>
      <dgm:spPr/>
    </dgm:pt>
  </dgm:ptLst>
  <dgm:cxnLst>
    <dgm:cxn modelId="{30DD4502-50F8-4F22-A462-98A59ACF2497}" type="presOf" srcId="{6D65036D-3153-4D8A-93BB-C0A908DEBE0A}" destId="{85120167-0B6F-40F5-BB9B-B850F3341E9E}" srcOrd="1" destOrd="0" presId="urn:microsoft.com/office/officeart/2005/8/layout/process3"/>
    <dgm:cxn modelId="{451FA402-DACD-4B5C-A3BB-C280D112F188}" type="presOf" srcId="{EA41D75E-9AB3-4EBC-99FC-0E070FA6DA4D}" destId="{A0B1C03E-53F8-4F7C-A3CA-D3AAF0E8BF2D}" srcOrd="1" destOrd="0" presId="urn:microsoft.com/office/officeart/2005/8/layout/process3"/>
    <dgm:cxn modelId="{AAE28506-6F17-4AA1-A283-BC9584353DB2}" srcId="{65154EF5-6F29-4698-8A92-3DF4C4065693}" destId="{115084DD-296C-4A64-AA32-54C833CC4633}" srcOrd="1" destOrd="0" parTransId="{3FE24DDF-CEEF-453B-A5E3-D198EAFCA474}" sibTransId="{876420A2-316B-4EB6-99EF-49E9506AA9B7}"/>
    <dgm:cxn modelId="{70BBF60A-48AA-4643-B266-8F675C204E42}" type="presOf" srcId="{33647E5E-44D6-4AC1-B835-7B2AC31F96D3}" destId="{FA56B1DB-AD51-4263-BDA1-8A294B502CB0}" srcOrd="0" destOrd="0" presId="urn:microsoft.com/office/officeart/2005/8/layout/process3"/>
    <dgm:cxn modelId="{0A827E0E-9914-4E91-AE23-43DB7C01F8A7}" srcId="{D0E2F2A7-898A-494D-9D45-B40B39553350}" destId="{EA41D75E-9AB3-4EBC-99FC-0E070FA6DA4D}" srcOrd="1" destOrd="0" parTransId="{7FCC76F8-935F-401B-A3FD-428AFE0DA49A}" sibTransId="{EBE9D8E2-128D-4448-B457-F4FF5D9E8217}"/>
    <dgm:cxn modelId="{7761070F-3D2C-4259-92C8-831078B60D1E}" type="presOf" srcId="{B7461046-B317-4AD4-84D1-79DEE21BF53F}" destId="{61CE2502-27E0-4C94-AAD9-7D1ACDA80FD5}" srcOrd="0" destOrd="2" presId="urn:microsoft.com/office/officeart/2005/8/layout/process3"/>
    <dgm:cxn modelId="{301B8B10-0BC1-4986-9AA6-3CDF62DF2519}" srcId="{6D65036D-3153-4D8A-93BB-C0A908DEBE0A}" destId="{62E22062-B42E-4646-8851-5E12CC50CA75}" srcOrd="4" destOrd="0" parTransId="{C028A822-AB2C-4346-8918-D8F987CAD4F8}" sibTransId="{83357024-AC13-481B-BD3B-350E0612B33A}"/>
    <dgm:cxn modelId="{A2107511-C48F-4408-86F8-3B384E0FD97B}" type="presOf" srcId="{AF352E92-5B2B-445C-95D5-F066FEE9E739}" destId="{96922067-8FBC-4636-986C-32C62691281A}" srcOrd="0" destOrd="0" presId="urn:microsoft.com/office/officeart/2005/8/layout/process3"/>
    <dgm:cxn modelId="{C962A41D-C6A7-48FB-8834-6E756CCD599E}" type="presOf" srcId="{860E6F6E-9814-4910-8FC1-052F3F127B7C}" destId="{61CE2502-27E0-4C94-AAD9-7D1ACDA80FD5}" srcOrd="0" destOrd="5" presId="urn:microsoft.com/office/officeart/2005/8/layout/process3"/>
    <dgm:cxn modelId="{0ACDFA1F-60B3-491D-8CAD-DCC7B346A7FE}" type="presOf" srcId="{33647E5E-44D6-4AC1-B835-7B2AC31F96D3}" destId="{C0317F01-E9E2-4BC1-B1A9-F2D5BA4D4FBE}" srcOrd="1" destOrd="0" presId="urn:microsoft.com/office/officeart/2005/8/layout/process3"/>
    <dgm:cxn modelId="{57BF0223-71CD-4BC0-BA82-09966B040E77}" type="presOf" srcId="{74F82ED9-C762-4D0F-A3FA-3A9FEDF66F52}" destId="{20679306-E39F-4E11-841B-D9FD55E317AD}" srcOrd="0" destOrd="4" presId="urn:microsoft.com/office/officeart/2005/8/layout/process3"/>
    <dgm:cxn modelId="{4779F026-FE50-4F99-84AA-13786FD80F42}" type="presOf" srcId="{D0E2F2A7-898A-494D-9D45-B40B39553350}" destId="{4B10CBB0-AB03-49E0-8D12-57A40E9DCB6E}" srcOrd="0" destOrd="0" presId="urn:microsoft.com/office/officeart/2005/8/layout/process3"/>
    <dgm:cxn modelId="{00C39D2D-8337-4F84-A294-7E2259CBCC07}" type="presOf" srcId="{261BCF63-089A-46F1-9AEC-B53231F7DC3D}" destId="{96922067-8FBC-4636-986C-32C62691281A}" srcOrd="0" destOrd="1" presId="urn:microsoft.com/office/officeart/2005/8/layout/process3"/>
    <dgm:cxn modelId="{C9D7FC2D-15E2-4AE5-960F-608BF9D3B1FC}" srcId="{6D65036D-3153-4D8A-93BB-C0A908DEBE0A}" destId="{A87F7175-9843-416A-AFFA-FDED36CDB5CA}" srcOrd="3" destOrd="0" parTransId="{D18E6F36-64F2-4BBB-961D-390CE2F688B7}" sibTransId="{DF53A370-873D-4EA7-A44A-9063EEBC205E}"/>
    <dgm:cxn modelId="{3515EE2F-20D8-4AB3-AD4D-8876B37051E2}" srcId="{6D65036D-3153-4D8A-93BB-C0A908DEBE0A}" destId="{83D09D00-48A7-472E-94CA-2F57D88780B9}" srcOrd="1" destOrd="0" parTransId="{9F821437-D47A-482D-8955-5FE3A6FFBAFB}" sibTransId="{A7B54F5E-863B-4FA6-9F4B-80FB53207CF7}"/>
    <dgm:cxn modelId="{FB997E3D-7F68-4AAD-8EB6-F0DA88AE7503}" type="presOf" srcId="{DA70172E-1BEB-4AED-8721-D3EC9655435D}" destId="{96922067-8FBC-4636-986C-32C62691281A}" srcOrd="0" destOrd="6" presId="urn:microsoft.com/office/officeart/2005/8/layout/process3"/>
    <dgm:cxn modelId="{FF84763F-4C27-4188-9DCE-91E49AFA7E48}" type="presOf" srcId="{6EFD82B8-7B5C-423B-BD0B-7923C1BFC667}" destId="{20679306-E39F-4E11-841B-D9FD55E317AD}" srcOrd="0" destOrd="0" presId="urn:microsoft.com/office/officeart/2005/8/layout/process3"/>
    <dgm:cxn modelId="{C11E2941-5C34-43B4-82CF-22B651D2137C}" type="presOf" srcId="{0742C045-8665-4F99-B5A0-3AD3F2FE5BF7}" destId="{96922067-8FBC-4636-986C-32C62691281A}" srcOrd="0" destOrd="3" presId="urn:microsoft.com/office/officeart/2005/8/layout/process3"/>
    <dgm:cxn modelId="{4C02E162-1B7B-4D41-9E28-85C42886B8BC}" type="presOf" srcId="{71A9D6B0-F2A5-491C-8FB1-9EE230CBC737}" destId="{20679306-E39F-4E11-841B-D9FD55E317AD}" srcOrd="0" destOrd="5" presId="urn:microsoft.com/office/officeart/2005/8/layout/process3"/>
    <dgm:cxn modelId="{9CA58865-0676-41EA-A215-764822C2263E}" type="presOf" srcId="{ED5A1A6B-F6D3-483D-AEAB-BD04F848BD97}" destId="{61CE2502-27E0-4C94-AAD9-7D1ACDA80FD5}" srcOrd="0" destOrd="0" presId="urn:microsoft.com/office/officeart/2005/8/layout/process3"/>
    <dgm:cxn modelId="{0F15EB66-C74C-4D19-935E-696AA124724A}" type="presOf" srcId="{EBE9D8E2-128D-4448-B457-F4FF5D9E8217}" destId="{71E97FD9-7459-425E-ADA5-6BF63EB7E13B}" srcOrd="0" destOrd="0" presId="urn:microsoft.com/office/officeart/2005/8/layout/process3"/>
    <dgm:cxn modelId="{393D2867-D758-456C-B0F5-E7EAECF6BB55}" type="presOf" srcId="{56C04E08-8190-4EDE-99D0-F3F0DD1DA4DB}" destId="{96922067-8FBC-4636-986C-32C62691281A}" srcOrd="0" destOrd="5" presId="urn:microsoft.com/office/officeart/2005/8/layout/process3"/>
    <dgm:cxn modelId="{E565E447-B561-49CE-B0D4-1E4D47BBDF5C}" type="presOf" srcId="{B93121C1-C513-4BF7-8814-B9C2290E9FF5}" destId="{61CE2502-27E0-4C94-AAD9-7D1ACDA80FD5}" srcOrd="0" destOrd="6" presId="urn:microsoft.com/office/officeart/2005/8/layout/process3"/>
    <dgm:cxn modelId="{96D4D169-1BD7-4070-ADB5-8EAA6ADA7B0C}" type="presOf" srcId="{65154EF5-6F29-4698-8A92-3DF4C4065693}" destId="{48871787-408D-4122-851E-C5BB99754B62}" srcOrd="1" destOrd="0" presId="urn:microsoft.com/office/officeart/2005/8/layout/process3"/>
    <dgm:cxn modelId="{2AA65870-78AC-4D93-A021-7EE2FA8C3745}" srcId="{EA41D75E-9AB3-4EBC-99FC-0E070FA6DA4D}" destId="{56C04E08-8190-4EDE-99D0-F3F0DD1DA4DB}" srcOrd="5" destOrd="0" parTransId="{C9EFEFA8-0F22-464A-95D8-F90D65DCA0F4}" sibTransId="{D0328B96-94F1-4C2D-895B-A27F696961F0}"/>
    <dgm:cxn modelId="{84FE6978-976D-49DE-9044-766C7E89043E}" srcId="{EA41D75E-9AB3-4EBC-99FC-0E070FA6DA4D}" destId="{AF352E92-5B2B-445C-95D5-F066FEE9E739}" srcOrd="0" destOrd="0" parTransId="{C8C59BF1-D8C1-457F-9895-CE876B30E59F}" sibTransId="{9BF25E79-3BE5-4506-93F8-9DA7DF42A896}"/>
    <dgm:cxn modelId="{CD9D1379-FE3F-4022-965D-7958C63EAEBD}" srcId="{6D65036D-3153-4D8A-93BB-C0A908DEBE0A}" destId="{B93121C1-C513-4BF7-8814-B9C2290E9FF5}" srcOrd="6" destOrd="0" parTransId="{543A6715-F856-4611-8D07-F358855359CF}" sibTransId="{AFA38BEF-6CBD-4C92-96CF-FAEC1F8C793F}"/>
    <dgm:cxn modelId="{E6A7BE7C-2E7B-41D1-9751-DC269F738A37}" srcId="{EA41D75E-9AB3-4EBC-99FC-0E070FA6DA4D}" destId="{97E62C51-3C5B-4475-AFF8-88328FE67C06}" srcOrd="2" destOrd="0" parTransId="{6C88F72C-9723-4E85-B84B-A662847DEA45}" sibTransId="{7EE9C02D-A50F-49D5-A7C3-876B4ED8CAB6}"/>
    <dgm:cxn modelId="{D67AEE7D-2C33-46EF-A9E4-2FFDB1F1939A}" srcId="{6D65036D-3153-4D8A-93BB-C0A908DEBE0A}" destId="{860E6F6E-9814-4910-8FC1-052F3F127B7C}" srcOrd="5" destOrd="0" parTransId="{C8495826-3F81-415F-A339-1A10B20061D5}" sibTransId="{1FD9DB7F-449B-4DA7-84C6-95EC6DBF1E1B}"/>
    <dgm:cxn modelId="{2899EF8C-2FE7-49E3-BF1C-2170B7F656A0}" type="presOf" srcId="{A87F7175-9843-416A-AFFA-FDED36CDB5CA}" destId="{61CE2502-27E0-4C94-AAD9-7D1ACDA80FD5}" srcOrd="0" destOrd="3" presId="urn:microsoft.com/office/officeart/2005/8/layout/process3"/>
    <dgm:cxn modelId="{7F249E8F-B480-4E2C-8DD0-27640B0710FA}" type="presOf" srcId="{115084DD-296C-4A64-AA32-54C833CC4633}" destId="{20679306-E39F-4E11-841B-D9FD55E317AD}" srcOrd="0" destOrd="1" presId="urn:microsoft.com/office/officeart/2005/8/layout/process3"/>
    <dgm:cxn modelId="{EB5D729D-72A3-4235-A53B-E25BB1688A31}" srcId="{65154EF5-6F29-4698-8A92-3DF4C4065693}" destId="{74F82ED9-C762-4D0F-A3FA-3A9FEDF66F52}" srcOrd="4" destOrd="0" parTransId="{F6DABFE2-01F3-4E10-B762-8780E6CF6456}" sibTransId="{D1BBF2D3-C8A2-41E0-B833-2E17D7B2C45A}"/>
    <dgm:cxn modelId="{14766C9E-D87C-4EDA-89F5-5107A0E03BC5}" type="presOf" srcId="{EA41D75E-9AB3-4EBC-99FC-0E070FA6DA4D}" destId="{C2E9D34B-CC8B-4A44-B31F-D892974065C2}" srcOrd="0" destOrd="0" presId="urn:microsoft.com/office/officeart/2005/8/layout/process3"/>
    <dgm:cxn modelId="{0874FC9F-A4B8-4D2A-B748-D0645E83A38A}" type="presOf" srcId="{EBE9D8E2-128D-4448-B457-F4FF5D9E8217}" destId="{3C4EB948-EB50-47FE-A8FD-4AFEE8B4A48E}" srcOrd="1" destOrd="0" presId="urn:microsoft.com/office/officeart/2005/8/layout/process3"/>
    <dgm:cxn modelId="{92690FA1-1046-4D3B-B8B6-0575217010BA}" srcId="{EA41D75E-9AB3-4EBC-99FC-0E070FA6DA4D}" destId="{524AF793-A369-4220-A913-204CB4488C6A}" srcOrd="4" destOrd="0" parTransId="{238ACFC7-E322-4171-83C9-47AC80B2DD88}" sibTransId="{63BDFC23-7157-4162-9F45-A506F2DA8F50}"/>
    <dgm:cxn modelId="{F1BD58AF-4D4E-46E0-8381-AF7B5E1BEBAE}" srcId="{D0E2F2A7-898A-494D-9D45-B40B39553350}" destId="{6D65036D-3153-4D8A-93BB-C0A908DEBE0A}" srcOrd="0" destOrd="0" parTransId="{BAACA523-314B-4F37-BBBB-34CB4163DD3A}" sibTransId="{33647E5E-44D6-4AC1-B835-7B2AC31F96D3}"/>
    <dgm:cxn modelId="{B9DCAAB1-33B5-4F77-991B-F4E037A92914}" srcId="{65154EF5-6F29-4698-8A92-3DF4C4065693}" destId="{C954A738-1D6E-4C98-BEF2-4E7CEAD509DA}" srcOrd="3" destOrd="0" parTransId="{05E70588-54A5-4799-BD1F-DF013D261EE5}" sibTransId="{3EB01A92-4077-47CB-B4F8-8D1109C5FEA3}"/>
    <dgm:cxn modelId="{4C86ABB1-6ABD-4470-9A36-4C5AF32FF4E0}" type="presOf" srcId="{524AF793-A369-4220-A913-204CB4488C6A}" destId="{96922067-8FBC-4636-986C-32C62691281A}" srcOrd="0" destOrd="4" presId="urn:microsoft.com/office/officeart/2005/8/layout/process3"/>
    <dgm:cxn modelId="{93F529B3-7721-4C8A-AA0F-903D39857FD5}" type="presOf" srcId="{65154EF5-6F29-4698-8A92-3DF4C4065693}" destId="{629EAD17-D44D-4824-9E56-0C9359E96E66}" srcOrd="0" destOrd="0" presId="urn:microsoft.com/office/officeart/2005/8/layout/process3"/>
    <dgm:cxn modelId="{3F0F3DB5-7E6B-48C8-863E-7E6D045E8EE8}" type="presOf" srcId="{6D65036D-3153-4D8A-93BB-C0A908DEBE0A}" destId="{91930526-94D7-400A-9927-BFC412DA2BD4}" srcOrd="0" destOrd="0" presId="urn:microsoft.com/office/officeart/2005/8/layout/process3"/>
    <dgm:cxn modelId="{85D265BD-CCA5-40B5-AB98-B68B180901BD}" srcId="{6D65036D-3153-4D8A-93BB-C0A908DEBE0A}" destId="{ED5A1A6B-F6D3-483D-AEAB-BD04F848BD97}" srcOrd="0" destOrd="0" parTransId="{4101AE2E-5845-4932-AA0A-1596E62EE296}" sibTransId="{A8040D95-837E-4DD5-8F99-4529AAF77E61}"/>
    <dgm:cxn modelId="{212C06BF-432D-4B3D-9C1B-9B50FFC20EE1}" type="presOf" srcId="{C954A738-1D6E-4C98-BEF2-4E7CEAD509DA}" destId="{20679306-E39F-4E11-841B-D9FD55E317AD}" srcOrd="0" destOrd="3" presId="urn:microsoft.com/office/officeart/2005/8/layout/process3"/>
    <dgm:cxn modelId="{8CFD53C2-1CB4-41DE-8584-D541C5E931F2}" srcId="{EA41D75E-9AB3-4EBC-99FC-0E070FA6DA4D}" destId="{0742C045-8665-4F99-B5A0-3AD3F2FE5BF7}" srcOrd="3" destOrd="0" parTransId="{E699FC25-4EAD-4781-BFE0-8B6007DCCCFE}" sibTransId="{635AE502-589E-4EA3-8490-A4FB15789815}"/>
    <dgm:cxn modelId="{8F4066C6-D6EF-4ACA-88AB-9B9A4E2680B3}" srcId="{D0E2F2A7-898A-494D-9D45-B40B39553350}" destId="{65154EF5-6F29-4698-8A92-3DF4C4065693}" srcOrd="2" destOrd="0" parTransId="{F3F46ACD-A6BF-4C96-AAFF-F386E9B08ED4}" sibTransId="{22E76877-5D51-43D0-985E-720FA4C05060}"/>
    <dgm:cxn modelId="{4F28DACA-830F-4F4D-A3D1-0D5E4E39F4D8}" type="presOf" srcId="{805005EC-9127-4E22-B21B-4EC8D6B77F8A}" destId="{20679306-E39F-4E11-841B-D9FD55E317AD}" srcOrd="0" destOrd="2" presId="urn:microsoft.com/office/officeart/2005/8/layout/process3"/>
    <dgm:cxn modelId="{5C60FBE1-8FA2-4865-A079-DFE4FE061C50}" srcId="{6D65036D-3153-4D8A-93BB-C0A908DEBE0A}" destId="{B7461046-B317-4AD4-84D1-79DEE21BF53F}" srcOrd="2" destOrd="0" parTransId="{30F0D686-EE54-4EA0-A815-BC3C36D2A4CB}" sibTransId="{CC57B557-867D-41A8-9363-6386281D3A95}"/>
    <dgm:cxn modelId="{243FEEE3-CBF7-435E-B367-004F3DB79244}" srcId="{EA41D75E-9AB3-4EBC-99FC-0E070FA6DA4D}" destId="{DA70172E-1BEB-4AED-8721-D3EC9655435D}" srcOrd="6" destOrd="0" parTransId="{7D52986C-F25E-4973-A737-10AC51202EC6}" sibTransId="{DD31CD67-02A0-4A9B-B4F5-5CC518F8D531}"/>
    <dgm:cxn modelId="{656719E4-E007-4320-B8F5-EEB4224D9F97}" srcId="{65154EF5-6F29-4698-8A92-3DF4C4065693}" destId="{805005EC-9127-4E22-B21B-4EC8D6B77F8A}" srcOrd="2" destOrd="0" parTransId="{96ACA894-9E6A-437D-A940-CD1565E217B3}" sibTransId="{88222BD8-5709-4608-A360-1384A7A0A542}"/>
    <dgm:cxn modelId="{48108DE5-184C-4F2F-BD5F-0C043213D2B9}" srcId="{EA41D75E-9AB3-4EBC-99FC-0E070FA6DA4D}" destId="{261BCF63-089A-46F1-9AEC-B53231F7DC3D}" srcOrd="1" destOrd="0" parTransId="{8AAD4278-D751-448B-BDAB-657339334480}" sibTransId="{E0BD8776-8E33-4403-8E90-FA0C0651BB61}"/>
    <dgm:cxn modelId="{E932FDE8-309A-4A48-838C-56929BFDA122}" type="presOf" srcId="{83D09D00-48A7-472E-94CA-2F57D88780B9}" destId="{61CE2502-27E0-4C94-AAD9-7D1ACDA80FD5}" srcOrd="0" destOrd="1" presId="urn:microsoft.com/office/officeart/2005/8/layout/process3"/>
    <dgm:cxn modelId="{253414EA-8413-4B66-B2B5-08BB9CF7983A}" type="presOf" srcId="{97E62C51-3C5B-4475-AFF8-88328FE67C06}" destId="{96922067-8FBC-4636-986C-32C62691281A}" srcOrd="0" destOrd="2" presId="urn:microsoft.com/office/officeart/2005/8/layout/process3"/>
    <dgm:cxn modelId="{8F29ADF4-DA81-4715-8D4D-83E66D3DA211}" type="presOf" srcId="{62E22062-B42E-4646-8851-5E12CC50CA75}" destId="{61CE2502-27E0-4C94-AAD9-7D1ACDA80FD5}" srcOrd="0" destOrd="4" presId="urn:microsoft.com/office/officeart/2005/8/layout/process3"/>
    <dgm:cxn modelId="{AE2C23F8-0A42-4DA6-8B78-8993488CD8A4}" srcId="{65154EF5-6F29-4698-8A92-3DF4C4065693}" destId="{71A9D6B0-F2A5-491C-8FB1-9EE230CBC737}" srcOrd="5" destOrd="0" parTransId="{013E550B-0B45-4502-8921-F595E14BB342}" sibTransId="{E0F3ED15-BA1D-4344-BFD0-6C15DEFA8171}"/>
    <dgm:cxn modelId="{BDD88EF9-5237-4B80-AB43-ED5947AD0528}" srcId="{65154EF5-6F29-4698-8A92-3DF4C4065693}" destId="{6EFD82B8-7B5C-423B-BD0B-7923C1BFC667}" srcOrd="0" destOrd="0" parTransId="{716D156F-8E8C-4340-AF70-A3FC6FDC05D9}" sibTransId="{370B57C3-F5A9-41E6-A2DF-BD4F5FBADA9D}"/>
    <dgm:cxn modelId="{3E9910C3-EE9B-49A3-BE6B-6E23672C3E0C}" type="presParOf" srcId="{4B10CBB0-AB03-49E0-8D12-57A40E9DCB6E}" destId="{41E94EAE-F092-4F95-9069-D5BE8ECEA6D6}" srcOrd="0" destOrd="0" presId="urn:microsoft.com/office/officeart/2005/8/layout/process3"/>
    <dgm:cxn modelId="{AEA63FD7-33D4-4AF2-8CDB-09300EE87A57}" type="presParOf" srcId="{41E94EAE-F092-4F95-9069-D5BE8ECEA6D6}" destId="{91930526-94D7-400A-9927-BFC412DA2BD4}" srcOrd="0" destOrd="0" presId="urn:microsoft.com/office/officeart/2005/8/layout/process3"/>
    <dgm:cxn modelId="{BA2798C1-205B-43E3-BCEA-273FA219A7E3}" type="presParOf" srcId="{41E94EAE-F092-4F95-9069-D5BE8ECEA6D6}" destId="{85120167-0B6F-40F5-BB9B-B850F3341E9E}" srcOrd="1" destOrd="0" presId="urn:microsoft.com/office/officeart/2005/8/layout/process3"/>
    <dgm:cxn modelId="{64337E9B-274B-4CF8-9D97-6D2C2DF02E29}" type="presParOf" srcId="{41E94EAE-F092-4F95-9069-D5BE8ECEA6D6}" destId="{61CE2502-27E0-4C94-AAD9-7D1ACDA80FD5}" srcOrd="2" destOrd="0" presId="urn:microsoft.com/office/officeart/2005/8/layout/process3"/>
    <dgm:cxn modelId="{39031681-0A1C-42EF-8785-020938B9B1E7}" type="presParOf" srcId="{4B10CBB0-AB03-49E0-8D12-57A40E9DCB6E}" destId="{FA56B1DB-AD51-4263-BDA1-8A294B502CB0}" srcOrd="1" destOrd="0" presId="urn:microsoft.com/office/officeart/2005/8/layout/process3"/>
    <dgm:cxn modelId="{0CE1FDDE-0952-4467-AF64-839E6EE37B8C}" type="presParOf" srcId="{FA56B1DB-AD51-4263-BDA1-8A294B502CB0}" destId="{C0317F01-E9E2-4BC1-B1A9-F2D5BA4D4FBE}" srcOrd="0" destOrd="0" presId="urn:microsoft.com/office/officeart/2005/8/layout/process3"/>
    <dgm:cxn modelId="{9B5A1433-739A-4C20-84E1-03CD6A2CB92D}" type="presParOf" srcId="{4B10CBB0-AB03-49E0-8D12-57A40E9DCB6E}" destId="{F2BCE499-7AAE-47C7-893D-1330077E9A0B}" srcOrd="2" destOrd="0" presId="urn:microsoft.com/office/officeart/2005/8/layout/process3"/>
    <dgm:cxn modelId="{1CFA3761-363D-4333-A0F2-98D9F0A42FD8}" type="presParOf" srcId="{F2BCE499-7AAE-47C7-893D-1330077E9A0B}" destId="{C2E9D34B-CC8B-4A44-B31F-D892974065C2}" srcOrd="0" destOrd="0" presId="urn:microsoft.com/office/officeart/2005/8/layout/process3"/>
    <dgm:cxn modelId="{32D6CAEA-39BA-4A49-AEFA-5E4B56306A66}" type="presParOf" srcId="{F2BCE499-7AAE-47C7-893D-1330077E9A0B}" destId="{A0B1C03E-53F8-4F7C-A3CA-D3AAF0E8BF2D}" srcOrd="1" destOrd="0" presId="urn:microsoft.com/office/officeart/2005/8/layout/process3"/>
    <dgm:cxn modelId="{4D4F2210-6334-4C8A-9E75-AD787402AE63}" type="presParOf" srcId="{F2BCE499-7AAE-47C7-893D-1330077E9A0B}" destId="{96922067-8FBC-4636-986C-32C62691281A}" srcOrd="2" destOrd="0" presId="urn:microsoft.com/office/officeart/2005/8/layout/process3"/>
    <dgm:cxn modelId="{6D6DA846-6B45-407B-8BF3-0DF55E6B64FF}" type="presParOf" srcId="{4B10CBB0-AB03-49E0-8D12-57A40E9DCB6E}" destId="{71E97FD9-7459-425E-ADA5-6BF63EB7E13B}" srcOrd="3" destOrd="0" presId="urn:microsoft.com/office/officeart/2005/8/layout/process3"/>
    <dgm:cxn modelId="{343F1251-69D4-4B54-BB06-09EF6E79C330}" type="presParOf" srcId="{71E97FD9-7459-425E-ADA5-6BF63EB7E13B}" destId="{3C4EB948-EB50-47FE-A8FD-4AFEE8B4A48E}" srcOrd="0" destOrd="0" presId="urn:microsoft.com/office/officeart/2005/8/layout/process3"/>
    <dgm:cxn modelId="{24B34AF0-97B6-4E2A-B893-D3DACF3DE2D4}" type="presParOf" srcId="{4B10CBB0-AB03-49E0-8D12-57A40E9DCB6E}" destId="{034E9CE5-DF45-4CDA-AABF-CD382A09B3DE}" srcOrd="4" destOrd="0" presId="urn:microsoft.com/office/officeart/2005/8/layout/process3"/>
    <dgm:cxn modelId="{9AD4DF43-2E84-4F49-9FF3-F85962D665E5}" type="presParOf" srcId="{034E9CE5-DF45-4CDA-AABF-CD382A09B3DE}" destId="{629EAD17-D44D-4824-9E56-0C9359E96E66}" srcOrd="0" destOrd="0" presId="urn:microsoft.com/office/officeart/2005/8/layout/process3"/>
    <dgm:cxn modelId="{9AFFA9FE-D7A3-4DDA-878E-B28855497A74}" type="presParOf" srcId="{034E9CE5-DF45-4CDA-AABF-CD382A09B3DE}" destId="{48871787-408D-4122-851E-C5BB99754B62}" srcOrd="1" destOrd="0" presId="urn:microsoft.com/office/officeart/2005/8/layout/process3"/>
    <dgm:cxn modelId="{4669A7C6-18B0-407D-8FAB-A473F8E88B16}" type="presParOf" srcId="{034E9CE5-DF45-4CDA-AABF-CD382A09B3DE}" destId="{20679306-E39F-4E11-841B-D9FD55E317AD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F35740C-0694-4AA7-9B58-D5CDF731BEB5}">
      <dsp:nvSpPr>
        <dsp:cNvPr id="0" name=""/>
        <dsp:cNvSpPr/>
      </dsp:nvSpPr>
      <dsp:spPr>
        <a:xfrm>
          <a:off x="0" y="616897"/>
          <a:ext cx="5726430" cy="822530"/>
        </a:xfrm>
        <a:prstGeom prst="notched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10CA78C8-5AB0-4B24-B00F-DD0D586C6017}">
      <dsp:nvSpPr>
        <dsp:cNvPr id="0" name=""/>
        <dsp:cNvSpPr/>
      </dsp:nvSpPr>
      <dsp:spPr>
        <a:xfrm>
          <a:off x="1415" y="0"/>
          <a:ext cx="824152" cy="82253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9784" rIns="49784" bIns="49784" numCol="1" spcCol="1270" anchor="b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700" kern="1200"/>
            <a:t>výzkumná fáze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700" kern="1200"/>
            <a:t>cíl: identifikace kandidátních vakcín</a:t>
          </a:r>
        </a:p>
      </dsp:txBody>
      <dsp:txXfrm>
        <a:off x="1415" y="0"/>
        <a:ext cx="824152" cy="822530"/>
      </dsp:txXfrm>
    </dsp:sp>
    <dsp:sp modelId="{04207E25-AC6D-4340-85A1-5A6626995E0D}">
      <dsp:nvSpPr>
        <dsp:cNvPr id="0" name=""/>
        <dsp:cNvSpPr/>
      </dsp:nvSpPr>
      <dsp:spPr>
        <a:xfrm>
          <a:off x="310675" y="925346"/>
          <a:ext cx="205632" cy="205632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F8EA136-A892-4733-9B88-6297695999F6}">
      <dsp:nvSpPr>
        <dsp:cNvPr id="0" name=""/>
        <dsp:cNvSpPr/>
      </dsp:nvSpPr>
      <dsp:spPr>
        <a:xfrm>
          <a:off x="866776" y="1233795"/>
          <a:ext cx="824152" cy="82253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9784" rIns="49784" bIns="49784" numCol="1" spcCol="1270" anchor="t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700" kern="1200"/>
            <a:t>pre-klinická fáze 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700" kern="1200"/>
            <a:t>cíl: identifikce bezpečných kandidátních vakcín, výroba dle GMP</a:t>
          </a:r>
        </a:p>
      </dsp:txBody>
      <dsp:txXfrm>
        <a:off x="866776" y="1233795"/>
        <a:ext cx="824152" cy="822530"/>
      </dsp:txXfrm>
    </dsp:sp>
    <dsp:sp modelId="{C94D4AF3-0AEF-4813-BCD4-C21CF0585A65}">
      <dsp:nvSpPr>
        <dsp:cNvPr id="0" name=""/>
        <dsp:cNvSpPr/>
      </dsp:nvSpPr>
      <dsp:spPr>
        <a:xfrm>
          <a:off x="1176036" y="925346"/>
          <a:ext cx="205632" cy="205632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4A99A18-C62B-49E7-8CA5-156014C56ECF}">
      <dsp:nvSpPr>
        <dsp:cNvPr id="0" name=""/>
        <dsp:cNvSpPr/>
      </dsp:nvSpPr>
      <dsp:spPr>
        <a:xfrm>
          <a:off x="1732136" y="0"/>
          <a:ext cx="824152" cy="82253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9784" rIns="49784" bIns="49784" numCol="1" spcCol="1270" anchor="b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700" kern="1200"/>
            <a:t>1.klinická fáze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700" kern="1200"/>
            <a:t>cíl: bezpečnost, snášenlivost</a:t>
          </a:r>
        </a:p>
      </dsp:txBody>
      <dsp:txXfrm>
        <a:off x="1732136" y="0"/>
        <a:ext cx="824152" cy="822530"/>
      </dsp:txXfrm>
    </dsp:sp>
    <dsp:sp modelId="{1FB99993-B37C-421F-AEBC-FDCFCA20FDEC}">
      <dsp:nvSpPr>
        <dsp:cNvPr id="0" name=""/>
        <dsp:cNvSpPr/>
      </dsp:nvSpPr>
      <dsp:spPr>
        <a:xfrm>
          <a:off x="2041396" y="925346"/>
          <a:ext cx="205632" cy="205632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EE02135-FD47-458A-8273-3FDB3FD67D69}">
      <dsp:nvSpPr>
        <dsp:cNvPr id="0" name=""/>
        <dsp:cNvSpPr/>
      </dsp:nvSpPr>
      <dsp:spPr>
        <a:xfrm>
          <a:off x="2597497" y="1233795"/>
          <a:ext cx="824152" cy="82253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9784" rIns="49784" bIns="49784" numCol="1" spcCol="1270" anchor="t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700" kern="1200"/>
            <a:t>2.klinická fáze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700" kern="1200"/>
            <a:t>cíl: optimalizace dávkování</a:t>
          </a:r>
        </a:p>
      </dsp:txBody>
      <dsp:txXfrm>
        <a:off x="2597497" y="1233795"/>
        <a:ext cx="824152" cy="822530"/>
      </dsp:txXfrm>
    </dsp:sp>
    <dsp:sp modelId="{50AC7BF1-BB47-4FDB-909B-EAC573876506}">
      <dsp:nvSpPr>
        <dsp:cNvPr id="0" name=""/>
        <dsp:cNvSpPr/>
      </dsp:nvSpPr>
      <dsp:spPr>
        <a:xfrm>
          <a:off x="2906757" y="925346"/>
          <a:ext cx="205632" cy="205632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FBEA8CD-4886-4259-BA92-51649E6DFFDE}">
      <dsp:nvSpPr>
        <dsp:cNvPr id="0" name=""/>
        <dsp:cNvSpPr/>
      </dsp:nvSpPr>
      <dsp:spPr>
        <a:xfrm>
          <a:off x="3462857" y="0"/>
          <a:ext cx="824152" cy="82253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9784" rIns="49784" bIns="49784" numCol="1" spcCol="1270" anchor="b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700" kern="1200"/>
            <a:t>3.klinická fáze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700" kern="1200"/>
            <a:t>cíl: důkaz bezpečnosti a efektivity</a:t>
          </a:r>
        </a:p>
      </dsp:txBody>
      <dsp:txXfrm>
        <a:off x="3462857" y="0"/>
        <a:ext cx="824152" cy="822530"/>
      </dsp:txXfrm>
    </dsp:sp>
    <dsp:sp modelId="{05290838-2918-4CF7-AA69-28185B2BA930}">
      <dsp:nvSpPr>
        <dsp:cNvPr id="0" name=""/>
        <dsp:cNvSpPr/>
      </dsp:nvSpPr>
      <dsp:spPr>
        <a:xfrm>
          <a:off x="3772118" y="925346"/>
          <a:ext cx="205632" cy="205632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505CE39-F3F8-4878-8E39-AC2548E177CB}">
      <dsp:nvSpPr>
        <dsp:cNvPr id="0" name=""/>
        <dsp:cNvSpPr/>
      </dsp:nvSpPr>
      <dsp:spPr>
        <a:xfrm>
          <a:off x="4328218" y="1233795"/>
          <a:ext cx="824152" cy="82253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9784" rIns="49784" bIns="49784" numCol="1" spcCol="1270" anchor="t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700" kern="1200"/>
            <a:t>registrace -marketingová autorizace</a:t>
          </a:r>
        </a:p>
      </dsp:txBody>
      <dsp:txXfrm>
        <a:off x="4328218" y="1233795"/>
        <a:ext cx="824152" cy="822530"/>
      </dsp:txXfrm>
    </dsp:sp>
    <dsp:sp modelId="{F327870D-3D1A-4036-995A-9EF06CFEE45E}">
      <dsp:nvSpPr>
        <dsp:cNvPr id="0" name=""/>
        <dsp:cNvSpPr/>
      </dsp:nvSpPr>
      <dsp:spPr>
        <a:xfrm>
          <a:off x="4637478" y="925346"/>
          <a:ext cx="205632" cy="205632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5120167-0B6F-40F5-BB9B-B850F3341E9E}">
      <dsp:nvSpPr>
        <dsp:cNvPr id="0" name=""/>
        <dsp:cNvSpPr/>
      </dsp:nvSpPr>
      <dsp:spPr>
        <a:xfrm>
          <a:off x="2889" y="21883"/>
          <a:ext cx="1313801" cy="6010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60960" numCol="1" spcCol="1270" anchor="t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600" b="1" kern="1200"/>
            <a:t>fáze I A</a:t>
          </a:r>
        </a:p>
      </dsp:txBody>
      <dsp:txXfrm>
        <a:off x="2889" y="21883"/>
        <a:ext cx="1313801" cy="400682"/>
      </dsp:txXfrm>
    </dsp:sp>
    <dsp:sp modelId="{61CE2502-27E0-4C94-AAD9-7D1ACDA80FD5}">
      <dsp:nvSpPr>
        <dsp:cNvPr id="0" name=""/>
        <dsp:cNvSpPr/>
      </dsp:nvSpPr>
      <dsp:spPr>
        <a:xfrm>
          <a:off x="271981" y="422566"/>
          <a:ext cx="1313801" cy="28512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cs-CZ" sz="900" b="1" kern="1200" cap="none" spc="0">
              <a:ln w="0"/>
              <a:solidFill>
                <a:schemeClr val="accent1"/>
              </a:solidFill>
              <a:effectLst>
                <a:outerShdw blurRad="38100" dist="25400" dir="5400000" algn="ctr" rotWithShape="0">
                  <a:srgbClr val="6E747A">
                    <a:alpha val="43000"/>
                  </a:srgbClr>
                </a:outerShdw>
              </a:effectLst>
            </a:rPr>
            <a:t>Cílené centralizované očkování</a:t>
          </a:r>
          <a:endParaRPr lang="cs-CZ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cs-CZ" sz="900" u="none" kern="1200"/>
            <a:t>Dostupné pouze </a:t>
          </a:r>
          <a:r>
            <a:rPr lang="cs-CZ" sz="900" b="1" u="none" kern="1200"/>
            <a:t>omezené množství</a:t>
          </a:r>
          <a:r>
            <a:rPr lang="cs-CZ" sz="900" u="none" kern="1200"/>
            <a:t> vakcíny</a:t>
          </a:r>
          <a:endParaRPr lang="cs-CZ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cs-CZ" sz="900" b="1" u="none" kern="1200"/>
            <a:t>Některé náročné podmínky skladování a požadavky na logistiku</a:t>
          </a:r>
          <a:r>
            <a:rPr lang="cs-CZ" sz="900" u="none" kern="1200"/>
            <a:t> (např. skladování při −70 °C)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cs-CZ" sz="900" b="1" u="none" kern="1200"/>
            <a:t>Vícedávková</a:t>
          </a:r>
          <a:r>
            <a:rPr lang="cs-CZ" sz="900" u="none" kern="1200"/>
            <a:t> balení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cs-CZ" sz="900" u="none" kern="1200"/>
            <a:t>K dispozici různé typy vakcíny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cs-CZ" sz="900" u="none" kern="1200"/>
            <a:t>Velmi omezená zkušenost s vakcínou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cs-CZ" sz="900" kern="1200"/>
            <a:t>Vysoce cílené</a:t>
          </a:r>
          <a:r>
            <a:rPr lang="cs-CZ" sz="900" b="1" kern="1200"/>
            <a:t>, vysoce prioritizované očkování</a:t>
          </a:r>
          <a:r>
            <a:rPr lang="cs-CZ" sz="900" kern="1200"/>
            <a:t> podle doporučení MZ a NIKO</a:t>
          </a:r>
        </a:p>
      </dsp:txBody>
      <dsp:txXfrm>
        <a:off x="310461" y="461046"/>
        <a:ext cx="1236841" cy="2774240"/>
      </dsp:txXfrm>
    </dsp:sp>
    <dsp:sp modelId="{FA56B1DB-AD51-4263-BDA1-8A294B502CB0}">
      <dsp:nvSpPr>
        <dsp:cNvPr id="0" name=""/>
        <dsp:cNvSpPr/>
      </dsp:nvSpPr>
      <dsp:spPr>
        <a:xfrm>
          <a:off x="1515858" y="58675"/>
          <a:ext cx="422235" cy="32709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700" kern="1200"/>
        </a:p>
      </dsp:txBody>
      <dsp:txXfrm>
        <a:off x="1515858" y="124095"/>
        <a:ext cx="324106" cy="196258"/>
      </dsp:txXfrm>
    </dsp:sp>
    <dsp:sp modelId="{A0B1C03E-53F8-4F7C-A3CA-D3AAF0E8BF2D}">
      <dsp:nvSpPr>
        <dsp:cNvPr id="0" name=""/>
        <dsp:cNvSpPr/>
      </dsp:nvSpPr>
      <dsp:spPr>
        <a:xfrm>
          <a:off x="2113360" y="21883"/>
          <a:ext cx="1313801" cy="6010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60960" numCol="1" spcCol="1270" anchor="t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600" b="1" kern="1200"/>
            <a:t>fáze I B</a:t>
          </a:r>
        </a:p>
      </dsp:txBody>
      <dsp:txXfrm>
        <a:off x="2113360" y="21883"/>
        <a:ext cx="1313801" cy="400682"/>
      </dsp:txXfrm>
    </dsp:sp>
    <dsp:sp modelId="{96922067-8FBC-4636-986C-32C62691281A}">
      <dsp:nvSpPr>
        <dsp:cNvPr id="0" name=""/>
        <dsp:cNvSpPr/>
      </dsp:nvSpPr>
      <dsp:spPr>
        <a:xfrm>
          <a:off x="2382452" y="422566"/>
          <a:ext cx="1313801" cy="28512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cs-CZ" sz="900" b="1" kern="1200" cap="none" spc="0">
              <a:ln w="0"/>
              <a:solidFill>
                <a:schemeClr val="accent1"/>
              </a:solidFill>
              <a:effectLst>
                <a:outerShdw blurRad="38100" dist="25400" dir="5400000" algn="ctr" rotWithShape="0">
                  <a:srgbClr val="6E747A">
                    <a:alpha val="43000"/>
                  </a:srgbClr>
                </a:outerShdw>
              </a:effectLst>
            </a:rPr>
            <a:t>Rozšířené centralizované očkování</a:t>
          </a:r>
          <a:endParaRPr lang="cs-CZ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cs-CZ" sz="900" u="none" kern="1200"/>
            <a:t>Dostupné </a:t>
          </a:r>
          <a:r>
            <a:rPr lang="cs-CZ" sz="900" b="1" u="none" kern="1200"/>
            <a:t>větší množství </a:t>
          </a:r>
          <a:r>
            <a:rPr lang="cs-CZ" sz="900" u="none" kern="1200"/>
            <a:t>vakcíny</a:t>
          </a:r>
          <a:endParaRPr lang="cs-CZ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cs-CZ" sz="900" b="1" u="none" kern="1200"/>
            <a:t>Některé náročné podmínky skladování a požadavky na logistiku</a:t>
          </a:r>
          <a:r>
            <a:rPr lang="cs-CZ" sz="900" u="none" kern="1200"/>
            <a:t> (např. skladování při −70 °C)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cs-CZ" sz="900" b="1" u="none" kern="1200"/>
            <a:t>Vícedávková</a:t>
          </a:r>
          <a:r>
            <a:rPr lang="cs-CZ" sz="900" u="none" kern="1200"/>
            <a:t> balení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cs-CZ" sz="900" u="none" kern="1200"/>
            <a:t>K dispozici různé typy vakcíny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cs-CZ" sz="900" u="none" kern="1200"/>
            <a:t>Omezená zkušenost s vakcínou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cs-CZ" sz="900" b="1" kern="1200"/>
            <a:t>Prioritizované očkování </a:t>
          </a:r>
          <a:r>
            <a:rPr lang="cs-CZ" sz="900" kern="1200"/>
            <a:t>podle doporučení MZ a NIKO</a:t>
          </a:r>
        </a:p>
      </dsp:txBody>
      <dsp:txXfrm>
        <a:off x="2420932" y="461046"/>
        <a:ext cx="1236841" cy="2774240"/>
      </dsp:txXfrm>
    </dsp:sp>
    <dsp:sp modelId="{71E97FD9-7459-425E-ADA5-6BF63EB7E13B}">
      <dsp:nvSpPr>
        <dsp:cNvPr id="0" name=""/>
        <dsp:cNvSpPr/>
      </dsp:nvSpPr>
      <dsp:spPr>
        <a:xfrm>
          <a:off x="3626329" y="58675"/>
          <a:ext cx="422235" cy="32709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700" kern="1200"/>
        </a:p>
      </dsp:txBody>
      <dsp:txXfrm>
        <a:off x="3626329" y="124095"/>
        <a:ext cx="324106" cy="196258"/>
      </dsp:txXfrm>
    </dsp:sp>
    <dsp:sp modelId="{48871787-408D-4122-851E-C5BB99754B62}">
      <dsp:nvSpPr>
        <dsp:cNvPr id="0" name=""/>
        <dsp:cNvSpPr/>
      </dsp:nvSpPr>
      <dsp:spPr>
        <a:xfrm>
          <a:off x="4223832" y="21883"/>
          <a:ext cx="1313801" cy="601024"/>
        </a:xfrm>
        <a:prstGeom prst="roundRect">
          <a:avLst>
            <a:gd name="adj" fmla="val 10000"/>
          </a:avLst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60960" numCol="1" spcCol="1270" anchor="t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600" b="1" kern="1200"/>
            <a:t>fáze II</a:t>
          </a:r>
        </a:p>
      </dsp:txBody>
      <dsp:txXfrm>
        <a:off x="4223832" y="21883"/>
        <a:ext cx="1313801" cy="400682"/>
      </dsp:txXfrm>
    </dsp:sp>
    <dsp:sp modelId="{20679306-E39F-4E11-841B-D9FD55E317AD}">
      <dsp:nvSpPr>
        <dsp:cNvPr id="0" name=""/>
        <dsp:cNvSpPr/>
      </dsp:nvSpPr>
      <dsp:spPr>
        <a:xfrm>
          <a:off x="4492924" y="422566"/>
          <a:ext cx="1313801" cy="28512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cs-CZ" sz="900" b="1" kern="1200" cap="none" spc="0">
              <a:ln w="0"/>
              <a:solidFill>
                <a:srgbClr val="00B050"/>
              </a:solidFill>
              <a:effectLst>
                <a:outerShdw blurRad="38100" dist="25400" dir="5400000" algn="ctr" rotWithShape="0">
                  <a:srgbClr val="6E747A">
                    <a:alpha val="43000"/>
                  </a:srgbClr>
                </a:outerShdw>
              </a:effectLst>
            </a:rPr>
            <a:t>Široké decentralizované očkování</a:t>
          </a:r>
          <a:endParaRPr lang="cs-CZ" sz="900" kern="1200">
            <a:solidFill>
              <a:srgbClr val="00B050"/>
            </a:solidFill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cs-CZ" sz="900" u="none" kern="1200"/>
            <a:t>Vakcína je široce dostupná</a:t>
          </a:r>
          <a:endParaRPr lang="cs-CZ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cs-CZ" sz="900" b="1" u="none" kern="1200"/>
            <a:t>Méně náročné podmínky skladování a požadavky na logistiku</a:t>
          </a:r>
          <a:r>
            <a:rPr lang="cs-CZ" sz="900" u="none" kern="1200"/>
            <a:t> (např. skladování při 2-8 °C)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cs-CZ" sz="900" b="1" u="none" kern="1200"/>
            <a:t>Vícedávkové nebo jednodávkové </a:t>
          </a:r>
          <a:r>
            <a:rPr lang="cs-CZ" sz="900" u="none" kern="1200"/>
            <a:t>balení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cs-CZ" sz="900" u="none" kern="1200"/>
            <a:t>K dispozici různé typy vakcíny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cs-CZ" sz="900" b="1" u="none" kern="1200"/>
            <a:t>Široké očkování </a:t>
          </a:r>
          <a:r>
            <a:rPr lang="cs-CZ" sz="900" u="none" kern="1200"/>
            <a:t>podle doporučení MZ a NIKO</a:t>
          </a:r>
        </a:p>
      </dsp:txBody>
      <dsp:txXfrm>
        <a:off x="4531404" y="461046"/>
        <a:ext cx="1236841" cy="27742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11">
  <dgm:title val=""/>
  <dgm:desc val=""/>
  <dgm:catLst>
    <dgm:cat type="process" pri="8000"/>
    <dgm:cat type="convert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l" for="ch" forName="arrow"/>
          <dgm:constr type="w" for="ch" forName="points" refType="w" fact="0.9"/>
          <dgm:constr type="h" for="ch" forName="points" refType="h"/>
          <dgm:constr type="t" for="ch" forName="points"/>
          <dgm:constr type="l" for="ch" forName="points"/>
        </dgm:constrLst>
      </dgm:if>
      <dgm:else name="Name3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r" for="ch" forName="arrow" refType="w"/>
          <dgm:constr type="w" for="ch" forName="points" refType="w" fact="0.9"/>
          <dgm:constr type="h" for="ch" forName="points" refType="h"/>
          <dgm:constr type="t" for="ch" forName="points"/>
          <dgm:constr type="r" for="ch" forName="points" refType="w"/>
        </dgm:constrLst>
      </dgm:else>
    </dgm:choose>
    <dgm:ruleLst/>
    <dgm:layoutNode name="arrow" styleLbl="bgShp">
      <dgm:alg type="sp"/>
      <dgm:choose name="Name4">
        <dgm:if name="Name5" func="var" arg="dir" op="equ" val="norm">
          <dgm:shape xmlns:r="http://schemas.openxmlformats.org/officeDocument/2006/relationships" type="notchedRightArrow" r:blip="">
            <dgm:adjLst/>
          </dgm:shape>
        </dgm:if>
        <dgm:else name="Name6">
          <dgm:shape xmlns:r="http://schemas.openxmlformats.org/officeDocument/2006/relationships" rot="180" type="notchedRightArrow" r:blip="">
            <dgm:adjLst/>
          </dgm:shape>
        </dgm:else>
      </dgm:choose>
      <dgm:presOf/>
      <dgm:constrLst/>
      <dgm:ruleLst/>
    </dgm:layoutNode>
    <dgm:layoutNode name="points">
      <dgm:choose name="Name7">
        <dgm:if name="Name8" func="var" arg="dir" op="equ" val="norm">
          <dgm:alg type="lin">
            <dgm:param type="linDir" val="fromL"/>
          </dgm:alg>
        </dgm:if>
        <dgm:else name="Name9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A" refType="w"/>
        <dgm:constr type="h" for="ch" forName="compositeA" refType="h"/>
        <dgm:constr type="w" for="ch" forName="compositeB" refType="w" refFor="ch" refForName="compositeA" op="equ"/>
        <dgm:constr type="h" for="ch" forName="compositeB" refType="h" refFor="ch" refForName="compositeA" op="equ"/>
        <dgm:constr type="primFontSz" for="des" ptType="node" op="equ" val="65"/>
        <dgm:constr type="w" for="ch" forName="space" refType="w" refFor="ch" refForName="compositeA" op="equ" fact="0.05"/>
      </dgm:constrLst>
      <dgm:ruleLst/>
      <dgm:forEach name="Name10" axis="ch" ptType="node">
        <dgm:choose name="Name11">
          <dgm:if name="Name12" axis="self" ptType="node" func="posOdd" op="equ" val="1">
            <dgm:layoutNode name="compositeA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A" refType="w"/>
                <dgm:constr type="h" for="ch" forName="textA" refType="h" fact="0.4"/>
                <dgm:constr type="t" for="ch" forName="textA"/>
                <dgm:constr type="l" for="ch" forName="textA"/>
                <dgm:constr type="h" for="ch" forName="circleA" refType="h" fact="0.1"/>
                <dgm:constr type="h" for="ch" forName="circleA" refType="w" op="lte"/>
                <dgm:constr type="w" for="ch" forName="circleA" refType="h" refFor="ch" refForName="circleA" op="equ"/>
                <dgm:constr type="ctrY" for="ch" forName="circleA" refType="h" fact="0.5"/>
                <dgm:constr type="ctrX" for="ch" forName="circleA" refType="w" refFor="ch" refForName="textA" fact="0.5"/>
                <dgm:constr type="w" for="ch" forName="spaceA" refType="w"/>
                <dgm:constr type="h" for="ch" forName="spaceA" refType="h" fact="0.4"/>
                <dgm:constr type="b" for="ch" forName="spaceA" refType="h"/>
                <dgm:constr type="l" for="ch" forName="spaceA"/>
              </dgm:constrLst>
              <dgm:ruleLst/>
              <dgm:layoutNode name="textA" styleLbl="revTx">
                <dgm:varLst>
                  <dgm:bulletEnabled val="1"/>
                </dgm:varLst>
                <dgm:alg type="tx">
                  <dgm:param type="txAnchorVert" val="b"/>
                  <dgm:param type="txAnchorVertCh" val="b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A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A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13">
            <dgm:layoutNode name="compositeB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B" refType="w"/>
                <dgm:constr type="h" for="ch" forName="textB" refType="h" fact="0.4"/>
                <dgm:constr type="b" for="ch" forName="textB" refType="h"/>
                <dgm:constr type="l" for="ch" forName="textB"/>
                <dgm:constr type="h" for="ch" forName="circleB" refType="h" fact="0.1"/>
                <dgm:constr type="w" for="ch" forName="circleB" refType="h" refFor="ch" refForName="circleB" op="equ"/>
                <dgm:constr type="h" for="ch" forName="circleB" refType="w" op="lte"/>
                <dgm:constr type="ctrY" for="ch" forName="circleB" refType="h" fact="0.5"/>
                <dgm:constr type="ctrX" for="ch" forName="circleB" refType="w" refFor="ch" refForName="textB" fact="0.5"/>
                <dgm:constr type="w" for="ch" forName="spaceB" refType="w"/>
                <dgm:constr type="h" for="ch" forName="spaceB" refType="h" fact="0.4"/>
                <dgm:constr type="t" for="ch" forName="spaceB"/>
                <dgm:constr type="l" for="ch" forName="spaceB"/>
              </dgm:constrLst>
              <dgm:ruleLst/>
              <dgm:layoutNode name="textB" styleLbl="revTx">
                <dgm:varLst>
                  <dgm:bulletEnabled val="1"/>
                </dgm:varLst>
                <dgm:alg type="tx">
                  <dgm:param type="txAnchorVert" val="t"/>
                  <dgm:param type="txAnchorVertCh" val="t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B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B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else>
        </dgm:choos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63D9F-E6C0-4F61-8A1D-7512D093C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4868</Words>
  <Characters>28722</Characters>
  <Application>Microsoft Office Word</Application>
  <DocSecurity>0</DocSecurity>
  <Lines>239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Červenková Irena MUDr.</dc:creator>
  <cp:keywords/>
  <dc:description/>
  <cp:lastModifiedBy>Policar Radek JUDr.</cp:lastModifiedBy>
  <cp:revision>2</cp:revision>
  <dcterms:created xsi:type="dcterms:W3CDTF">2020-12-08T15:24:00Z</dcterms:created>
  <dcterms:modified xsi:type="dcterms:W3CDTF">2020-12-08T15:24:00Z</dcterms:modified>
</cp:coreProperties>
</file>